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802D" w14:textId="36A796C4" w:rsidR="002A2A42" w:rsidRPr="002A2A42" w:rsidRDefault="002A2A42" w:rsidP="002A2A42">
      <w:pPr>
        <w:jc w:val="center"/>
        <w:rPr>
          <w:rFonts w:ascii="Meiryo UI" w:eastAsia="Meiryo UI" w:hAnsi="Meiryo UI" w:cs="Meiryo UI"/>
          <w:sz w:val="24"/>
          <w:szCs w:val="32"/>
        </w:rPr>
      </w:pPr>
      <w:r w:rsidRPr="002A2A42">
        <w:rPr>
          <w:rFonts w:ascii="Meiryo UI" w:eastAsia="Meiryo UI" w:hAnsi="Meiryo UI" w:cs="Meiryo UI" w:hint="eastAsia"/>
          <w:sz w:val="24"/>
          <w:szCs w:val="32"/>
        </w:rPr>
        <w:t>教員養成課程における情報セキュリティを確保した学習環境整備</w:t>
      </w:r>
      <w:r w:rsidR="00CD527F">
        <w:rPr>
          <w:rFonts w:ascii="Meiryo UI" w:eastAsia="Meiryo UI" w:hAnsi="Meiryo UI" w:cs="Meiryo UI" w:hint="eastAsia"/>
          <w:sz w:val="24"/>
          <w:szCs w:val="32"/>
        </w:rPr>
        <w:t>とその指導方法</w:t>
      </w:r>
    </w:p>
    <w:p w14:paraId="08A84430" w14:textId="77777777" w:rsidR="00226618" w:rsidRPr="00FC2749" w:rsidRDefault="00226618" w:rsidP="003D68CF">
      <w:pPr>
        <w:spacing w:line="400" w:lineRule="exact"/>
        <w:jc w:val="center"/>
        <w:rPr>
          <w:rFonts w:asciiTheme="minorHAnsi" w:eastAsia="ＭＳ ゴシック" w:hAnsiTheme="minorHAnsi"/>
          <w:szCs w:val="21"/>
        </w:rPr>
      </w:pPr>
    </w:p>
    <w:p w14:paraId="3A4C8BE0" w14:textId="77777777" w:rsidR="00226618" w:rsidRDefault="00236ACA" w:rsidP="00236ACA">
      <w:pPr>
        <w:spacing w:line="400" w:lineRule="exact"/>
        <w:ind w:right="-2"/>
        <w:jc w:val="center"/>
        <w:rPr>
          <w:rFonts w:asciiTheme="minorHAnsi" w:eastAsia="ＭＳ ゴシック" w:hAnsiTheme="minorHAnsi"/>
          <w:sz w:val="20"/>
          <w:szCs w:val="21"/>
        </w:rPr>
      </w:pPr>
      <w:r w:rsidRPr="00DD30E7">
        <w:rPr>
          <w:rFonts w:asciiTheme="minorHAnsi" w:eastAsia="ＭＳ ゴシック" w:hAnsiTheme="minorHAnsi"/>
          <w:sz w:val="20"/>
          <w:szCs w:val="21"/>
        </w:rPr>
        <w:t>Study on reaction analysis of the learning process to raise an intellectual power</w:t>
      </w:r>
    </w:p>
    <w:p w14:paraId="259EF12F" w14:textId="77777777" w:rsidR="00DD30E7" w:rsidRPr="00DD30E7" w:rsidRDefault="00DD30E7" w:rsidP="00236ACA">
      <w:pPr>
        <w:spacing w:line="400" w:lineRule="exact"/>
        <w:ind w:right="-2"/>
        <w:jc w:val="center"/>
        <w:rPr>
          <w:rFonts w:asciiTheme="minorHAnsi" w:eastAsia="ＭＳ ゴシック" w:hAnsiTheme="minorHAnsi"/>
          <w:sz w:val="20"/>
          <w:szCs w:val="21"/>
        </w:rPr>
      </w:pPr>
    </w:p>
    <w:p w14:paraId="5D9765A0" w14:textId="3779DF10" w:rsidR="00226618" w:rsidRDefault="00236ACA" w:rsidP="00226618">
      <w:pPr>
        <w:jc w:val="right"/>
        <w:rPr>
          <w:rFonts w:asciiTheme="minorHAnsi" w:hAnsiTheme="minorHAnsi"/>
        </w:rPr>
      </w:pPr>
      <w:r w:rsidRPr="00226618">
        <w:rPr>
          <w:rFonts w:asciiTheme="minorHAnsi" w:hAnsiTheme="minorHAnsi" w:hint="eastAsia"/>
        </w:rPr>
        <w:t>久世均</w:t>
      </w:r>
    </w:p>
    <w:p w14:paraId="035CCD18" w14:textId="77777777" w:rsidR="00363DBD" w:rsidRPr="00236ACA" w:rsidRDefault="00363DBD" w:rsidP="00226618">
      <w:pPr>
        <w:jc w:val="right"/>
        <w:rPr>
          <w:rFonts w:asciiTheme="minorHAnsi" w:hAnsiTheme="minorHAnsi"/>
        </w:rPr>
      </w:pPr>
    </w:p>
    <w:p w14:paraId="3A1BE3EB" w14:textId="271B57E8" w:rsidR="00E724E4" w:rsidRDefault="00F40231" w:rsidP="00151563">
      <w:pPr>
        <w:ind w:firstLineChars="100" w:firstLine="227"/>
        <w:rPr>
          <w:rFonts w:asciiTheme="minorHAnsi" w:hAnsiTheme="minorHAnsi" w:cs="Arial"/>
          <w:color w:val="000000"/>
          <w:szCs w:val="21"/>
        </w:rPr>
      </w:pPr>
      <w:r w:rsidRPr="00F40231">
        <w:rPr>
          <w:rFonts w:asciiTheme="minorHAnsi" w:hAnsiTheme="minorHAnsi" w:cs="Arial" w:hint="eastAsia"/>
          <w:color w:val="000000"/>
          <w:szCs w:val="21"/>
        </w:rPr>
        <w:t>ＩＣＴの教育への</w:t>
      </w:r>
      <w:r w:rsidR="00775F71">
        <w:rPr>
          <w:rFonts w:asciiTheme="minorHAnsi" w:hAnsiTheme="minorHAnsi" w:cs="Arial" w:hint="eastAsia"/>
          <w:color w:val="000000"/>
          <w:szCs w:val="21"/>
        </w:rPr>
        <w:t>活用</w:t>
      </w:r>
      <w:r w:rsidRPr="00F40231">
        <w:rPr>
          <w:rFonts w:asciiTheme="minorHAnsi" w:hAnsiTheme="minorHAnsi" w:cs="Arial" w:hint="eastAsia"/>
          <w:color w:val="000000"/>
          <w:szCs w:val="21"/>
        </w:rPr>
        <w:t>については</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多くの成果報告がなされているが</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学習評価</w:t>
      </w:r>
      <w:r w:rsidR="00FF0478">
        <w:rPr>
          <w:rFonts w:asciiTheme="minorHAnsi" w:hAnsiTheme="minorHAnsi" w:cs="Arial" w:hint="eastAsia"/>
          <w:color w:val="000000"/>
          <w:szCs w:val="21"/>
        </w:rPr>
        <w:t>について</w:t>
      </w:r>
      <w:r w:rsidRPr="00F40231">
        <w:rPr>
          <w:rFonts w:asciiTheme="minorHAnsi" w:hAnsiTheme="minorHAnsi" w:cs="Arial" w:hint="eastAsia"/>
          <w:color w:val="000000"/>
          <w:szCs w:val="21"/>
        </w:rPr>
        <w:t>は</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それほど多くないのが現状である。そこで</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w:t>
      </w:r>
      <w:r w:rsidR="001F20C4">
        <w:rPr>
          <w:rFonts w:asciiTheme="minorHAnsi" w:hAnsiTheme="minorHAnsi" w:cs="Arial" w:hint="eastAsia"/>
          <w:color w:val="000000"/>
          <w:szCs w:val="21"/>
        </w:rPr>
        <w:t>主体的・対話的な深い学び</w:t>
      </w:r>
      <w:r w:rsidRPr="00F40231">
        <w:rPr>
          <w:rFonts w:asciiTheme="minorHAnsi" w:hAnsiTheme="minorHAnsi" w:cs="Arial" w:hint="eastAsia"/>
          <w:color w:val="000000"/>
          <w:szCs w:val="21"/>
        </w:rPr>
        <w:t>のプロセスを通じて表れる子供たちの学習成果をどのような方法で把握し，評価していくことができるか。」という中教審の課題に</w:t>
      </w:r>
      <w:r w:rsidR="00860F78">
        <w:rPr>
          <w:rFonts w:asciiTheme="minorHAnsi" w:hAnsiTheme="minorHAnsi" w:cs="Arial" w:hint="eastAsia"/>
          <w:color w:val="000000"/>
          <w:szCs w:val="21"/>
        </w:rPr>
        <w:t>対応し</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特に児童生徒の思考力を高めるために</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教授者である教師の発問に対する学習者の反応時間を</w:t>
      </w:r>
      <w:r w:rsidR="00236ACA">
        <w:rPr>
          <w:rFonts w:asciiTheme="minorHAnsi" w:hAnsiTheme="minorHAnsi" w:cs="Arial" w:hint="eastAsia"/>
          <w:color w:val="000000"/>
          <w:szCs w:val="21"/>
        </w:rPr>
        <w:t>記録</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分析することによって</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学習者の課題達成に向けての思考過程を解析</w:t>
      </w:r>
      <w:r w:rsidR="00FF0478">
        <w:rPr>
          <w:rFonts w:asciiTheme="minorHAnsi" w:hAnsiTheme="minorHAnsi" w:cs="Arial" w:hint="eastAsia"/>
          <w:color w:val="000000"/>
          <w:szCs w:val="21"/>
        </w:rPr>
        <w:t>することが必要となる。本研究では、</w:t>
      </w:r>
      <w:r w:rsidRPr="00F40231">
        <w:rPr>
          <w:rFonts w:asciiTheme="minorHAnsi" w:hAnsiTheme="minorHAnsi" w:cs="Arial" w:hint="eastAsia"/>
          <w:color w:val="000000"/>
          <w:szCs w:val="21"/>
        </w:rPr>
        <w:t>成果向上のための発問の有効性を検証しつつ</w:t>
      </w:r>
      <w:r w:rsidR="00C974FE">
        <w:rPr>
          <w:rFonts w:asciiTheme="minorHAnsi" w:hAnsiTheme="minorHAnsi" w:cs="Arial" w:hint="eastAsia"/>
          <w:color w:val="000000"/>
          <w:szCs w:val="21"/>
        </w:rPr>
        <w:t>，</w:t>
      </w:r>
      <w:r w:rsidRPr="00F40231">
        <w:rPr>
          <w:rFonts w:asciiTheme="minorHAnsi" w:hAnsiTheme="minorHAnsi" w:cs="Arial" w:hint="eastAsia"/>
          <w:color w:val="000000"/>
          <w:szCs w:val="21"/>
        </w:rPr>
        <w:t>授業分析を誰もが容易に行えるシステム</w:t>
      </w:r>
      <w:r w:rsidR="001F20C4">
        <w:rPr>
          <w:rFonts w:asciiTheme="minorHAnsi" w:hAnsiTheme="minorHAnsi" w:cs="Arial" w:hint="eastAsia"/>
          <w:color w:val="000000"/>
          <w:szCs w:val="21"/>
        </w:rPr>
        <w:t>について考察</w:t>
      </w:r>
      <w:r w:rsidRPr="00F40231">
        <w:rPr>
          <w:rFonts w:asciiTheme="minorHAnsi" w:hAnsiTheme="minorHAnsi" w:cs="Arial" w:hint="eastAsia"/>
          <w:color w:val="000000"/>
          <w:szCs w:val="21"/>
        </w:rPr>
        <w:t>した</w:t>
      </w:r>
      <w:r w:rsidR="00236ACA">
        <w:rPr>
          <w:rFonts w:asciiTheme="minorHAnsi" w:hAnsiTheme="minorHAnsi" w:cs="Arial" w:hint="eastAsia"/>
          <w:color w:val="000000"/>
          <w:szCs w:val="21"/>
        </w:rPr>
        <w:t>ので報告する</w:t>
      </w:r>
      <w:r w:rsidRPr="00F40231">
        <w:rPr>
          <w:rFonts w:asciiTheme="minorHAnsi" w:hAnsiTheme="minorHAnsi" w:cs="Arial" w:hint="eastAsia"/>
          <w:color w:val="000000"/>
          <w:szCs w:val="21"/>
        </w:rPr>
        <w:t>。</w:t>
      </w:r>
    </w:p>
    <w:p w14:paraId="5B037C38" w14:textId="77777777" w:rsidR="00F40231" w:rsidRDefault="00F40231" w:rsidP="00151563">
      <w:pPr>
        <w:ind w:firstLineChars="100" w:firstLine="227"/>
        <w:rPr>
          <w:rFonts w:asciiTheme="minorHAnsi" w:hAnsiTheme="minorHAnsi" w:cs="Arial"/>
          <w:color w:val="000000"/>
          <w:szCs w:val="21"/>
        </w:rPr>
      </w:pPr>
    </w:p>
    <w:p w14:paraId="2FC165FC" w14:textId="0B1F20AD" w:rsidR="003425C0" w:rsidRPr="001C0067" w:rsidRDefault="003425C0">
      <w:pPr>
        <w:rPr>
          <w:rFonts w:asciiTheme="minorHAnsi" w:hAnsiTheme="minorHAnsi"/>
          <w:szCs w:val="21"/>
        </w:rPr>
      </w:pPr>
      <w:r w:rsidRPr="001C0067">
        <w:rPr>
          <w:rFonts w:asciiTheme="minorHAnsi" w:hAnsiTheme="minorHAnsi"/>
          <w:szCs w:val="21"/>
        </w:rPr>
        <w:t>＜キーワード＞</w:t>
      </w:r>
      <w:r w:rsidR="009D3461" w:rsidRPr="001C0067">
        <w:rPr>
          <w:rFonts w:asciiTheme="minorHAnsi" w:hAnsiTheme="minorHAnsi"/>
          <w:szCs w:val="21"/>
        </w:rPr>
        <w:t xml:space="preserve">　</w:t>
      </w:r>
      <w:r w:rsidR="002B259C">
        <w:rPr>
          <w:rFonts w:asciiTheme="minorHAnsi" w:hAnsiTheme="minorHAnsi" w:hint="eastAsia"/>
          <w:szCs w:val="21"/>
        </w:rPr>
        <w:t>大学</w:t>
      </w:r>
      <w:r w:rsidR="00FA5EC8">
        <w:rPr>
          <w:rFonts w:asciiTheme="minorHAnsi" w:hAnsiTheme="minorHAnsi"/>
          <w:szCs w:val="21"/>
        </w:rPr>
        <w:t>，</w:t>
      </w:r>
      <w:r w:rsidR="002B259C">
        <w:rPr>
          <w:rFonts w:asciiTheme="minorHAnsi" w:hAnsiTheme="minorHAnsi" w:hint="eastAsia"/>
          <w:szCs w:val="21"/>
        </w:rPr>
        <w:t>デジタルアーカイブ</w:t>
      </w:r>
      <w:r w:rsidR="00FA5EC8">
        <w:rPr>
          <w:rFonts w:asciiTheme="minorHAnsi" w:hAnsiTheme="minorHAnsi"/>
          <w:szCs w:val="21"/>
        </w:rPr>
        <w:t>，</w:t>
      </w:r>
      <w:r w:rsidR="00D52C0B">
        <w:rPr>
          <w:rFonts w:asciiTheme="minorHAnsi" w:hAnsiTheme="minorHAnsi" w:hint="eastAsia"/>
          <w:szCs w:val="21"/>
        </w:rPr>
        <w:t>レスポンスアナライザー</w:t>
      </w:r>
    </w:p>
    <w:p w14:paraId="29722EC5" w14:textId="77777777" w:rsidR="00FD62E1" w:rsidRPr="001C0067" w:rsidRDefault="00FD62E1">
      <w:pPr>
        <w:rPr>
          <w:rFonts w:asciiTheme="minorHAnsi" w:hAnsiTheme="minorHAnsi"/>
          <w:szCs w:val="21"/>
        </w:rPr>
      </w:pPr>
    </w:p>
    <w:p w14:paraId="1C78F437" w14:textId="77777777" w:rsidR="008F2DD9" w:rsidRPr="001C0067" w:rsidRDefault="008F2DD9">
      <w:pPr>
        <w:rPr>
          <w:rFonts w:asciiTheme="minorHAnsi" w:hAnsiTheme="minorHAnsi"/>
          <w:szCs w:val="21"/>
        </w:rPr>
        <w:sectPr w:rsidR="008F2DD9" w:rsidRPr="001C0067" w:rsidSect="00FD62E1">
          <w:footerReference w:type="even" r:id="rId8"/>
          <w:footerReference w:type="default" r:id="rId9"/>
          <w:footerReference w:type="first" r:id="rId10"/>
          <w:pgSz w:w="11906" w:h="16838" w:code="9"/>
          <w:pgMar w:top="1701" w:right="1418" w:bottom="1701" w:left="1418" w:header="851" w:footer="992" w:gutter="0"/>
          <w:cols w:space="425"/>
          <w:titlePg/>
          <w:docGrid w:type="linesAndChars" w:linePitch="350" w:charSpace="3430"/>
        </w:sectPr>
      </w:pPr>
    </w:p>
    <w:p w14:paraId="673DA1BE" w14:textId="77777777" w:rsidR="00FD62E1" w:rsidRDefault="002B4325" w:rsidP="00CA2E3F">
      <w:pPr>
        <w:ind w:left="434" w:hangingChars="200" w:hanging="434"/>
        <w:outlineLvl w:val="0"/>
        <w:rPr>
          <w:rFonts w:asciiTheme="majorEastAsia" w:eastAsiaTheme="majorEastAsia" w:hAnsiTheme="majorEastAsia"/>
          <w:b/>
          <w:szCs w:val="21"/>
        </w:rPr>
      </w:pPr>
      <w:r w:rsidRPr="0019774B">
        <w:rPr>
          <w:rFonts w:asciiTheme="majorEastAsia" w:eastAsiaTheme="majorEastAsia" w:hAnsiTheme="majorEastAsia" w:hint="eastAsia"/>
          <w:b/>
          <w:szCs w:val="21"/>
        </w:rPr>
        <w:t>１</w:t>
      </w:r>
      <w:r w:rsidR="009A40FD">
        <w:rPr>
          <w:rFonts w:asciiTheme="majorEastAsia" w:eastAsiaTheme="majorEastAsia" w:hAnsiTheme="majorEastAsia" w:hint="eastAsia"/>
          <w:b/>
          <w:szCs w:val="21"/>
        </w:rPr>
        <w:t>．</w:t>
      </w:r>
      <w:r w:rsidR="00A73080" w:rsidRPr="0019774B">
        <w:rPr>
          <w:rFonts w:asciiTheme="majorEastAsia" w:eastAsiaTheme="majorEastAsia" w:hAnsiTheme="majorEastAsia"/>
          <w:b/>
          <w:szCs w:val="21"/>
        </w:rPr>
        <w:t>はじめに</w:t>
      </w:r>
    </w:p>
    <w:p w14:paraId="7C37059F" w14:textId="77777777" w:rsidR="00A07716" w:rsidRDefault="00A07716" w:rsidP="00CA2E3F">
      <w:pPr>
        <w:ind w:left="434" w:hangingChars="200" w:hanging="434"/>
        <w:outlineLvl w:val="0"/>
        <w:rPr>
          <w:rFonts w:asciiTheme="majorEastAsia" w:eastAsiaTheme="majorEastAsia" w:hAnsiTheme="majorEastAsia"/>
          <w:b/>
          <w:szCs w:val="21"/>
        </w:rPr>
      </w:pPr>
    </w:p>
    <w:p w14:paraId="4272E5F7" w14:textId="49D9EA60" w:rsidR="006E648D" w:rsidRDefault="00F504FA" w:rsidP="006C1FA4">
      <w:pPr>
        <w:ind w:left="2"/>
        <w:outlineLvl w:val="0"/>
        <w:rPr>
          <w:rFonts w:asciiTheme="minorEastAsia" w:eastAsiaTheme="minorEastAsia" w:hAnsiTheme="minorEastAsia"/>
          <w:szCs w:val="21"/>
        </w:rPr>
      </w:pPr>
      <w:r w:rsidRPr="006835B5">
        <w:rPr>
          <w:rFonts w:asciiTheme="minorEastAsia" w:eastAsiaTheme="minorEastAsia" w:hAnsiTheme="minorEastAsia" w:hint="eastAsia"/>
          <w:szCs w:val="21"/>
        </w:rPr>
        <w:t xml:space="preserve">　</w:t>
      </w:r>
      <w:bookmarkStart w:id="0" w:name="_GoBack"/>
      <w:r w:rsidR="006C1FA4" w:rsidRPr="006C1FA4">
        <w:rPr>
          <w:rFonts w:asciiTheme="minorEastAsia" w:eastAsiaTheme="minorEastAsia" w:hAnsiTheme="minorEastAsia" w:hint="eastAsia"/>
          <w:szCs w:val="21"/>
        </w:rPr>
        <w:t>近年、ＩＣＴは急速に進化し、画面デザイン等は利用者が直感的にわかるものが多くなっています。一方で、ＩＣＴを通じてお金や重要な情報を扱う場面が増え、悪意を持つ者が犯罪行為を行う危険性も大きくなっているため、セキュリティなどの仕組みは複雑度を増しています。学校においても校務系では個人情報や機微な情報が多数取り扱われており、一度情報漏洩などが発生すると教育委員会や学校はその対応にかかりきりにならざるを得ません。そのため、整備や運用の担当者にもＩＣＴに関する知識の蓄積が必要ですが、多くの教職員や子供が使うＩＣＴ環境を整備するためには、ＩＣＴに関する専門知識を有する民間事業者の協力を欠かすことはできないと言えるでしょう。</w:t>
      </w:r>
      <w:bookmarkEnd w:id="0"/>
    </w:p>
    <w:p w14:paraId="4CED1CCE" w14:textId="14791DCD" w:rsidR="006E648D" w:rsidRDefault="006E648D" w:rsidP="006E648D">
      <w:pPr>
        <w:ind w:left="2"/>
        <w:outlineLvl w:val="0"/>
        <w:rPr>
          <w:rFonts w:asciiTheme="minorEastAsia" w:eastAsiaTheme="minorEastAsia" w:hAnsiTheme="minorEastAsia"/>
          <w:noProof/>
          <w:szCs w:val="21"/>
        </w:rPr>
      </w:pPr>
      <w:r w:rsidRPr="006E648D">
        <w:rPr>
          <w:rFonts w:asciiTheme="minorEastAsia" w:eastAsiaTheme="minorEastAsia" w:hAnsiTheme="minorEastAsia" w:hint="eastAsia"/>
          <w:szCs w:val="21"/>
        </w:rPr>
        <w:t xml:space="preserve">　</w:t>
      </w:r>
      <w:r w:rsidR="007A36F7">
        <w:rPr>
          <w:rFonts w:asciiTheme="minorEastAsia" w:eastAsiaTheme="minorEastAsia" w:hAnsiTheme="minorEastAsia" w:hint="eastAsia"/>
          <w:szCs w:val="21"/>
        </w:rPr>
        <w:t>ここで</w:t>
      </w:r>
      <w:r w:rsidRPr="006E648D">
        <w:rPr>
          <w:rFonts w:asciiTheme="minorEastAsia" w:eastAsiaTheme="minorEastAsia" w:hAnsiTheme="minorEastAsia" w:hint="eastAsia"/>
          <w:szCs w:val="21"/>
        </w:rPr>
        <w:t>は，これらの</w:t>
      </w:r>
      <w:r w:rsidR="00A07716" w:rsidRPr="00A07716">
        <w:rPr>
          <w:rFonts w:asciiTheme="minorEastAsia" w:eastAsiaTheme="minorEastAsia" w:hAnsiTheme="minorEastAsia" w:hint="eastAsia"/>
          <w:szCs w:val="21"/>
        </w:rPr>
        <w:t>主体的・対話的な深い学び</w:t>
      </w:r>
      <w:r w:rsidRPr="006E648D">
        <w:rPr>
          <w:rFonts w:asciiTheme="minorEastAsia" w:eastAsiaTheme="minorEastAsia" w:hAnsiTheme="minorEastAsia" w:hint="eastAsia"/>
          <w:szCs w:val="21"/>
        </w:rPr>
        <w:t>におけるレスポンスアナライザーによ</w:t>
      </w:r>
      <w:r w:rsidRPr="006E648D">
        <w:rPr>
          <w:rFonts w:asciiTheme="minorEastAsia" w:eastAsiaTheme="minorEastAsia" w:hAnsiTheme="minorEastAsia" w:hint="eastAsia"/>
          <w:szCs w:val="21"/>
        </w:rPr>
        <w:t>る評価方法</w:t>
      </w:r>
      <w:r w:rsidR="00127693">
        <w:rPr>
          <w:rFonts w:asciiTheme="minorEastAsia" w:eastAsiaTheme="minorEastAsia" w:hAnsiTheme="minorEastAsia" w:hint="eastAsia"/>
          <w:szCs w:val="21"/>
        </w:rPr>
        <w:t>の</w:t>
      </w:r>
      <w:r w:rsidR="006D49EB">
        <w:rPr>
          <w:rFonts w:asciiTheme="minorEastAsia" w:eastAsiaTheme="minorEastAsia" w:hAnsiTheme="minorEastAsia" w:hint="eastAsia"/>
          <w:szCs w:val="21"/>
        </w:rPr>
        <w:t>方向性</w:t>
      </w:r>
      <w:r w:rsidR="00127693">
        <w:rPr>
          <w:rFonts w:asciiTheme="minorEastAsia" w:eastAsiaTheme="minorEastAsia" w:hAnsiTheme="minorEastAsia" w:hint="eastAsia"/>
          <w:szCs w:val="21"/>
        </w:rPr>
        <w:t>について</w:t>
      </w:r>
      <w:r w:rsidR="00C36401">
        <w:rPr>
          <w:rFonts w:asciiTheme="minorEastAsia" w:eastAsiaTheme="minorEastAsia" w:hAnsiTheme="minorEastAsia" w:hint="eastAsia"/>
          <w:szCs w:val="21"/>
        </w:rPr>
        <w:t>報告する</w:t>
      </w:r>
      <w:r w:rsidRPr="006E648D">
        <w:rPr>
          <w:rFonts w:asciiTheme="minorEastAsia" w:eastAsiaTheme="minorEastAsia" w:hAnsiTheme="minorEastAsia" w:hint="eastAsia"/>
          <w:szCs w:val="21"/>
        </w:rPr>
        <w:t>。</w:t>
      </w:r>
    </w:p>
    <w:p w14:paraId="3F76F024" w14:textId="15848D59" w:rsidR="00E95636" w:rsidRPr="006E648D" w:rsidRDefault="00E95636" w:rsidP="006E648D">
      <w:pPr>
        <w:ind w:left="2"/>
        <w:outlineLvl w:val="0"/>
        <w:rPr>
          <w:rFonts w:asciiTheme="minorEastAsia" w:eastAsiaTheme="minorEastAsia" w:hAnsiTheme="minorEastAsia"/>
          <w:szCs w:val="21"/>
        </w:rPr>
      </w:pPr>
    </w:p>
    <w:p w14:paraId="43293326" w14:textId="50399800" w:rsidR="006C1FA4" w:rsidRPr="006C1FA4" w:rsidRDefault="006C1FA4" w:rsidP="006C1FA4">
      <w:pPr>
        <w:ind w:left="2"/>
        <w:outlineLvl w:val="0"/>
        <w:rPr>
          <w:rFonts w:asciiTheme="majorEastAsia" w:eastAsiaTheme="majorEastAsia" w:hAnsiTheme="majorEastAsia"/>
          <w:b/>
          <w:szCs w:val="21"/>
        </w:rPr>
      </w:pPr>
      <w:bookmarkStart w:id="1" w:name="_Toc473046380"/>
      <w:r w:rsidRPr="006C1FA4">
        <w:rPr>
          <w:rFonts w:asciiTheme="majorEastAsia" w:eastAsiaTheme="majorEastAsia" w:hAnsiTheme="majorEastAsia" w:hint="eastAsia"/>
          <w:b/>
          <w:szCs w:val="21"/>
        </w:rPr>
        <w:t>２．教育改革を踏まえた教育の情報化動向</w:t>
      </w:r>
      <w:bookmarkEnd w:id="1"/>
    </w:p>
    <w:p w14:paraId="1E9C00F7" w14:textId="4102B357" w:rsidR="006C1FA4" w:rsidRPr="006C1FA4" w:rsidRDefault="006C1FA4" w:rsidP="006C1FA4">
      <w:pPr>
        <w:ind w:left="2"/>
        <w:outlineLvl w:val="0"/>
        <w:rPr>
          <w:rFonts w:asciiTheme="majorEastAsia" w:eastAsiaTheme="majorEastAsia" w:hAnsiTheme="majorEastAsia"/>
          <w:b/>
          <w:szCs w:val="21"/>
        </w:rPr>
      </w:pPr>
      <w:bookmarkStart w:id="2" w:name="_Toc472601142"/>
      <w:bookmarkStart w:id="3" w:name="_Toc472601240"/>
      <w:bookmarkStart w:id="4" w:name="_Toc473046381"/>
      <w:r w:rsidRPr="006C1FA4">
        <w:rPr>
          <w:rFonts w:asciiTheme="majorEastAsia" w:eastAsiaTheme="majorEastAsia" w:hAnsiTheme="majorEastAsia"/>
          <w:b/>
          <w:szCs w:val="21"/>
        </w:rPr>
        <w:t>(2)</w:t>
      </w:r>
      <w:r w:rsidRPr="006C1FA4">
        <w:rPr>
          <w:rFonts w:asciiTheme="majorEastAsia" w:eastAsiaTheme="majorEastAsia" w:hAnsiTheme="majorEastAsia" w:hint="eastAsia"/>
          <w:b/>
          <w:szCs w:val="21"/>
        </w:rPr>
        <w:t>我が国の教育の現状と課題</w:t>
      </w:r>
      <w:bookmarkEnd w:id="2"/>
      <w:bookmarkEnd w:id="3"/>
      <w:bookmarkEnd w:id="4"/>
    </w:p>
    <w:p w14:paraId="28349285" w14:textId="530B85D1" w:rsidR="001F20C4" w:rsidRPr="006C1FA4" w:rsidRDefault="001F20C4" w:rsidP="00267C5A">
      <w:pPr>
        <w:ind w:left="2"/>
        <w:outlineLvl w:val="0"/>
        <w:rPr>
          <w:rFonts w:asciiTheme="majorEastAsia" w:eastAsiaTheme="majorEastAsia" w:hAnsiTheme="majorEastAsia"/>
          <w:b/>
          <w:szCs w:val="21"/>
        </w:rPr>
      </w:pPr>
    </w:p>
    <w:p w14:paraId="437171A9" w14:textId="77777777" w:rsidR="006C1FA4" w:rsidRPr="006C1FA4" w:rsidRDefault="006E648D" w:rsidP="006C1FA4">
      <w:pPr>
        <w:ind w:left="2"/>
        <w:outlineLvl w:val="0"/>
        <w:rPr>
          <w:rFonts w:asciiTheme="minorEastAsia" w:eastAsiaTheme="minorEastAsia" w:hAnsiTheme="minorEastAsia"/>
          <w:szCs w:val="21"/>
        </w:rPr>
      </w:pPr>
      <w:r w:rsidRPr="006E648D">
        <w:rPr>
          <w:rFonts w:asciiTheme="minorEastAsia" w:eastAsiaTheme="minorEastAsia" w:hAnsiTheme="minorEastAsia" w:hint="eastAsia"/>
          <w:szCs w:val="21"/>
        </w:rPr>
        <w:t xml:space="preserve">　</w:t>
      </w:r>
      <w:r w:rsidR="006C1FA4" w:rsidRPr="006C1FA4">
        <w:rPr>
          <w:rFonts w:asciiTheme="minorEastAsia" w:eastAsiaTheme="minorEastAsia" w:hAnsiTheme="minorEastAsia" w:hint="eastAsia"/>
          <w:szCs w:val="21"/>
        </w:rPr>
        <w:t>近年、情報化、グローバル化の進展に伴って、社会がめまぐるしく変化しています。この変化は日本だけに閉じたものではありません。</w:t>
      </w:r>
    </w:p>
    <w:p w14:paraId="7222386F" w14:textId="77777777" w:rsidR="006C1FA4" w:rsidRPr="006C1FA4" w:rsidRDefault="006C1FA4" w:rsidP="006C1FA4">
      <w:pPr>
        <w:ind w:left="2"/>
        <w:outlineLvl w:val="0"/>
        <w:rPr>
          <w:rFonts w:asciiTheme="minorEastAsia" w:eastAsiaTheme="minorEastAsia" w:hAnsiTheme="minorEastAsia"/>
          <w:b/>
          <w:szCs w:val="21"/>
        </w:rPr>
      </w:pPr>
      <w:r w:rsidRPr="006C1FA4">
        <w:rPr>
          <w:rFonts w:asciiTheme="minorEastAsia" w:eastAsiaTheme="minorEastAsia" w:hAnsiTheme="minorEastAsia" w:hint="eastAsia"/>
          <w:b/>
          <w:szCs w:val="21"/>
        </w:rPr>
        <w:t>図表　社会の急激な変化に関する世界各国の有識者等のコメント</w:t>
      </w:r>
    </w:p>
    <w:tbl>
      <w:tblPr>
        <w:tblStyle w:val="a9"/>
        <w:tblW w:w="0" w:type="auto"/>
        <w:tblLook w:val="04A0" w:firstRow="1" w:lastRow="0" w:firstColumn="1" w:lastColumn="0" w:noHBand="0" w:noVBand="1"/>
      </w:tblPr>
      <w:tblGrid>
        <w:gridCol w:w="2084"/>
        <w:gridCol w:w="2228"/>
      </w:tblGrid>
      <w:tr w:rsidR="006C1FA4" w:rsidRPr="006C1FA4" w14:paraId="4EA979A5" w14:textId="77777777" w:rsidTr="007C64AB">
        <w:tc>
          <w:tcPr>
            <w:tcW w:w="4972" w:type="dxa"/>
          </w:tcPr>
          <w:p w14:paraId="25DBE493"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子供たちの65％は、大学卒業後、今は存在していない職業に就く</w:t>
            </w:r>
          </w:p>
        </w:tc>
        <w:tc>
          <w:tcPr>
            <w:tcW w:w="4972" w:type="dxa"/>
          </w:tcPr>
          <w:p w14:paraId="7FDCA4C1"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キャシー･デビッドソン氏（ニューヨーク市立大学大学院センター教授）</w:t>
            </w:r>
          </w:p>
        </w:tc>
      </w:tr>
      <w:tr w:rsidR="006C1FA4" w:rsidRPr="006C1FA4" w14:paraId="1183F6EC" w14:textId="77777777" w:rsidTr="007C64AB">
        <w:tc>
          <w:tcPr>
            <w:tcW w:w="4972" w:type="dxa"/>
          </w:tcPr>
          <w:p w14:paraId="56ACA0C2"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今後10～20年程度で、約47％の仕事が自動化される可能性が高い</w:t>
            </w:r>
          </w:p>
        </w:tc>
        <w:tc>
          <w:tcPr>
            <w:tcW w:w="4972" w:type="dxa"/>
          </w:tcPr>
          <w:p w14:paraId="37A008F2"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マイケル・A・オズボーン氏（オックスフォード大学准教授）</w:t>
            </w:r>
          </w:p>
        </w:tc>
      </w:tr>
      <w:tr w:rsidR="006C1FA4" w:rsidRPr="006C1FA4" w14:paraId="0F4D183A" w14:textId="77777777" w:rsidTr="007C64AB">
        <w:tc>
          <w:tcPr>
            <w:tcW w:w="4972" w:type="dxa"/>
          </w:tcPr>
          <w:p w14:paraId="0EA46865"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2030年までには、週</w:t>
            </w:r>
            <w:r w:rsidRPr="006C1FA4">
              <w:rPr>
                <w:rFonts w:asciiTheme="minorEastAsia" w:eastAsiaTheme="minorEastAsia" w:hAnsiTheme="minorEastAsia" w:hint="eastAsia"/>
                <w:szCs w:val="21"/>
              </w:rPr>
              <w:lastRenderedPageBreak/>
              <w:t>15時間程度働けば済むようになる</w:t>
            </w:r>
          </w:p>
        </w:tc>
        <w:tc>
          <w:tcPr>
            <w:tcW w:w="4972" w:type="dxa"/>
          </w:tcPr>
          <w:p w14:paraId="5445A80F"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lastRenderedPageBreak/>
              <w:t>ジョン・メイナ－ド・</w:t>
            </w:r>
            <w:r w:rsidRPr="006C1FA4">
              <w:rPr>
                <w:rFonts w:asciiTheme="minorEastAsia" w:eastAsiaTheme="minorEastAsia" w:hAnsiTheme="minorEastAsia" w:hint="eastAsia"/>
                <w:szCs w:val="21"/>
              </w:rPr>
              <w:lastRenderedPageBreak/>
              <w:t>ケインズ氏（経済学者）</w:t>
            </w:r>
          </w:p>
        </w:tc>
      </w:tr>
      <w:tr w:rsidR="006C1FA4" w:rsidRPr="006C1FA4" w14:paraId="3D9CC983" w14:textId="77777777" w:rsidTr="007C64AB">
        <w:tc>
          <w:tcPr>
            <w:tcW w:w="4972" w:type="dxa"/>
          </w:tcPr>
          <w:p w14:paraId="1BA71535"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lastRenderedPageBreak/>
              <w:t>日本の労働人口の49％が人工知能やロボット等で代替可能に</w:t>
            </w:r>
          </w:p>
        </w:tc>
        <w:tc>
          <w:tcPr>
            <w:tcW w:w="4972" w:type="dxa"/>
          </w:tcPr>
          <w:p w14:paraId="73E54534"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株式会社野村総合研究所（2015年12月2日）</w:t>
            </w:r>
          </w:p>
        </w:tc>
      </w:tr>
    </w:tbl>
    <w:p w14:paraId="42EB768A"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これらは、いわゆる第四次産業革命によって発生する変化の一端と言えます。現在の職業の多くは今後なくなっていき、労働の質が高度に発達した情報化社会の中で加速的に変化していくことで、私達の生活、仕事、教育、地域社会などさまざまな場面に影響が及んでいきます。</w:t>
      </w:r>
    </w:p>
    <w:p w14:paraId="5E2F5EB4" w14:textId="77777777" w:rsidR="006C1FA4" w:rsidRPr="006C1FA4" w:rsidRDefault="006C1FA4" w:rsidP="006C1FA4">
      <w:pPr>
        <w:ind w:left="2"/>
        <w:outlineLvl w:val="0"/>
        <w:rPr>
          <w:rFonts w:asciiTheme="minorEastAsia" w:eastAsiaTheme="minorEastAsia" w:hAnsiTheme="minorEastAsia"/>
          <w:szCs w:val="21"/>
        </w:rPr>
      </w:pPr>
    </w:p>
    <w:p w14:paraId="5A50FFAC"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■学習指導要領の改訂に向けた検討</w:t>
      </w:r>
    </w:p>
    <w:p w14:paraId="706D52FB"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このような社会の変化により、学習指導要領の改訂に向けた検討においても「今学校で教えていることは、時代が変化したら通用しなくなるのではないか」という議論が行われました。その結果、「子供たちに、情報化やグローバル化など急激な社会的変化の中でも、未来の創り手となるために必要な資質・能力を確実に備えることのできる学校教育を実現する。」ことが学習指導要領改訂の軸となっています。（中央教育審議会「幼稚園、小学校、中学校、高等学校及び特別支援学校の学習指導要領等の改善及び必要な方策等について（答申）」、平成28年12月21日）</w:t>
      </w:r>
    </w:p>
    <w:p w14:paraId="040D3433"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次期学習指導要領では、「何ができるようになるか」、「何を学ぶか」、「どのように学ぶか」について、以下のような方向性を打ち出しています。</w:t>
      </w:r>
    </w:p>
    <w:p w14:paraId="0998461F" w14:textId="77777777" w:rsidR="006C1FA4" w:rsidRPr="006C1FA4" w:rsidRDefault="006C1FA4" w:rsidP="006C1FA4">
      <w:pPr>
        <w:numPr>
          <w:ilvl w:val="0"/>
          <w:numId w:val="12"/>
        </w:numPr>
        <w:outlineLvl w:val="0"/>
        <w:rPr>
          <w:rFonts w:asciiTheme="minorEastAsia" w:eastAsiaTheme="minorEastAsia" w:hAnsiTheme="minorEastAsia"/>
          <w:szCs w:val="21"/>
        </w:rPr>
      </w:pPr>
      <w:r w:rsidRPr="006C1FA4">
        <w:rPr>
          <w:rFonts w:asciiTheme="minorEastAsia" w:eastAsiaTheme="minorEastAsia" w:hAnsiTheme="minorEastAsia" w:hint="eastAsia"/>
          <w:szCs w:val="21"/>
        </w:rPr>
        <w:t>何ができるようになるか</w:t>
      </w:r>
      <w:r w:rsidRPr="006C1FA4">
        <w:rPr>
          <w:rFonts w:asciiTheme="minorEastAsia" w:eastAsiaTheme="minorEastAsia" w:hAnsiTheme="minorEastAsia" w:hint="eastAsia"/>
          <w:szCs w:val="21"/>
        </w:rPr>
        <w:tab/>
        <w:t>－育成を目指す資質・能力－</w:t>
      </w:r>
    </w:p>
    <w:p w14:paraId="31C6D294"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教科等を超えた全ての学習の基盤として育まれ活用される資質・能力。</w:t>
      </w:r>
    </w:p>
    <w:p w14:paraId="33893DE6" w14:textId="77777777" w:rsidR="006C1FA4" w:rsidRPr="006C1FA4" w:rsidRDefault="006C1FA4" w:rsidP="006C1FA4">
      <w:pPr>
        <w:numPr>
          <w:ilvl w:val="1"/>
          <w:numId w:val="13"/>
        </w:numPr>
        <w:outlineLvl w:val="0"/>
        <w:rPr>
          <w:rFonts w:asciiTheme="minorEastAsia" w:eastAsiaTheme="minorEastAsia" w:hAnsiTheme="minorEastAsia"/>
          <w:szCs w:val="21"/>
        </w:rPr>
      </w:pPr>
      <w:r w:rsidRPr="006C1FA4">
        <w:rPr>
          <w:rFonts w:asciiTheme="minorEastAsia" w:eastAsiaTheme="minorEastAsia" w:hAnsiTheme="minorEastAsia" w:hint="eastAsia"/>
          <w:szCs w:val="21"/>
        </w:rPr>
        <w:t>情報化の進展の中でますます読解力の重要性が高まっていますが、子供たちが教科書の文章すら読み解けていないのではないかという問題提起</w:t>
      </w:r>
      <w:r w:rsidRPr="006C1FA4">
        <w:rPr>
          <w:rFonts w:asciiTheme="minorEastAsia" w:eastAsiaTheme="minorEastAsia" w:hAnsiTheme="minorEastAsia" w:hint="eastAsia"/>
          <w:szCs w:val="21"/>
        </w:rPr>
        <w:t>もされています。全ての学習の基盤となる言語能力を育くんでいくことが重要です。</w:t>
      </w:r>
    </w:p>
    <w:p w14:paraId="33187AFF" w14:textId="77777777" w:rsidR="006C1FA4" w:rsidRPr="006C1FA4" w:rsidRDefault="006C1FA4" w:rsidP="006C1FA4">
      <w:pPr>
        <w:numPr>
          <w:ilvl w:val="1"/>
          <w:numId w:val="13"/>
        </w:numPr>
        <w:outlineLvl w:val="0"/>
        <w:rPr>
          <w:rFonts w:asciiTheme="minorEastAsia" w:eastAsiaTheme="minorEastAsia" w:hAnsiTheme="minorEastAsia"/>
          <w:szCs w:val="21"/>
        </w:rPr>
      </w:pPr>
      <w:r w:rsidRPr="006C1FA4">
        <w:rPr>
          <w:rFonts w:asciiTheme="minorEastAsia" w:eastAsiaTheme="minorEastAsia" w:hAnsiTheme="minorEastAsia" w:hint="eastAsia"/>
          <w:szCs w:val="21"/>
        </w:rPr>
        <w:t>急速に情報化が進展する社会の中で、情報や情報手段を主体的に選択し活用していくために必要な情報活用能力、物事を多面的・多角的に吟味し見定めていく力、統計的な分析に基づき判断する力、問題を見いだし解決に向けて思考するために必要な知識やスキルなどを体系的に育んでいくことが求められます。</w:t>
      </w:r>
    </w:p>
    <w:p w14:paraId="4D334554"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さらに情報活用能力については、情報技術が急速に進化していく時代にふさわしい情報モラル、小学校段階からの文字入力やデータ保存などに関する技能を着実に身に付けることが重要だと指摘されています。</w:t>
      </w:r>
    </w:p>
    <w:p w14:paraId="42F7864D" w14:textId="77777777" w:rsidR="006C1FA4" w:rsidRPr="006C1FA4" w:rsidRDefault="006C1FA4" w:rsidP="006C1FA4">
      <w:pPr>
        <w:numPr>
          <w:ilvl w:val="0"/>
          <w:numId w:val="14"/>
        </w:numPr>
        <w:ind w:leftChars="100" w:left="636"/>
        <w:outlineLvl w:val="0"/>
        <w:rPr>
          <w:rFonts w:asciiTheme="minorEastAsia" w:eastAsiaTheme="minorEastAsia" w:hAnsiTheme="minorEastAsia"/>
          <w:szCs w:val="21"/>
        </w:rPr>
      </w:pPr>
      <w:r w:rsidRPr="006C1FA4">
        <w:rPr>
          <w:rFonts w:asciiTheme="minorEastAsia" w:eastAsiaTheme="minorEastAsia" w:hAnsiTheme="minorEastAsia" w:hint="eastAsia"/>
          <w:szCs w:val="21"/>
        </w:rPr>
        <w:t>何を学ぶか</w:t>
      </w:r>
    </w:p>
    <w:p w14:paraId="2CE80932" w14:textId="77777777" w:rsidR="006C1FA4" w:rsidRPr="006C1FA4" w:rsidRDefault="006C1FA4" w:rsidP="006C1FA4">
      <w:pPr>
        <w:numPr>
          <w:ilvl w:val="0"/>
          <w:numId w:val="15"/>
        </w:numPr>
        <w:outlineLvl w:val="0"/>
        <w:rPr>
          <w:rFonts w:asciiTheme="minorEastAsia" w:eastAsiaTheme="minorEastAsia" w:hAnsiTheme="minorEastAsia"/>
          <w:szCs w:val="21"/>
        </w:rPr>
      </w:pPr>
      <w:r w:rsidRPr="006C1FA4">
        <w:rPr>
          <w:rFonts w:asciiTheme="minorEastAsia" w:eastAsiaTheme="minorEastAsia" w:hAnsiTheme="minorEastAsia" w:hint="eastAsia"/>
          <w:szCs w:val="21"/>
        </w:rPr>
        <w:t>新しい時代に必要となる資質・能力を踏まえ、小学校高学年の外国語活動の教科化などが答申されています。</w:t>
      </w:r>
    </w:p>
    <w:p w14:paraId="5CB5991B" w14:textId="77777777" w:rsidR="006C1FA4" w:rsidRPr="006C1FA4" w:rsidRDefault="006C1FA4" w:rsidP="006C1FA4">
      <w:pPr>
        <w:numPr>
          <w:ilvl w:val="0"/>
          <w:numId w:val="14"/>
        </w:numPr>
        <w:ind w:leftChars="100" w:left="636"/>
        <w:outlineLvl w:val="0"/>
        <w:rPr>
          <w:rFonts w:asciiTheme="minorEastAsia" w:eastAsiaTheme="minorEastAsia" w:hAnsiTheme="minorEastAsia"/>
          <w:szCs w:val="21"/>
        </w:rPr>
      </w:pPr>
      <w:r w:rsidRPr="006C1FA4">
        <w:rPr>
          <w:rFonts w:asciiTheme="minorEastAsia" w:eastAsiaTheme="minorEastAsia" w:hAnsiTheme="minorEastAsia" w:hint="eastAsia"/>
          <w:szCs w:val="21"/>
        </w:rPr>
        <w:t>どのように学ぶか　－各教科等の指導計画の作成と実施、学習・指導の改善・充実－</w:t>
      </w:r>
    </w:p>
    <w:p w14:paraId="547372E0" w14:textId="3DBF87C3" w:rsidR="00013868"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発達の段階や子供の学習課題等に応じて学びを充実させていく必要があります。知識の量を減らすことなく、子供が学習内容を理解できるようにするため、学習過程を質的に改善していきます。</w:t>
      </w:r>
    </w:p>
    <w:p w14:paraId="67D624D2"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■「アクティブ・ラーニング」の視点からの授業改善や個の学習ニーズに対応した「次世代の学校・地域」の創生</w:t>
      </w:r>
    </w:p>
    <w:p w14:paraId="1D4F8BE5"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中央教育審議会が検討した学習指導要領の全面改訂で主要な項目の一つが「アクティブ・ラーニング」と呼ばれる学習・指導方法の導入です。</w:t>
      </w:r>
    </w:p>
    <w:p w14:paraId="0FB6907C"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「アクティブ・ラーニング」については、３つの課題が提起されています。</w:t>
      </w:r>
    </w:p>
    <w:tbl>
      <w:tblPr>
        <w:tblStyle w:val="a9"/>
        <w:tblW w:w="0" w:type="auto"/>
        <w:jc w:val="center"/>
        <w:tblLook w:val="04A0" w:firstRow="1" w:lastRow="0" w:firstColumn="1" w:lastColumn="0" w:noHBand="0" w:noVBand="1"/>
      </w:tblPr>
      <w:tblGrid>
        <w:gridCol w:w="882"/>
        <w:gridCol w:w="3430"/>
      </w:tblGrid>
      <w:tr w:rsidR="006C1FA4" w:rsidRPr="006C1FA4" w14:paraId="7985F89C" w14:textId="77777777" w:rsidTr="007C64AB">
        <w:trPr>
          <w:jc w:val="center"/>
        </w:trPr>
        <w:tc>
          <w:tcPr>
            <w:tcW w:w="1417" w:type="dxa"/>
          </w:tcPr>
          <w:p w14:paraId="69D192AD"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深い学</w:t>
            </w:r>
            <w:r w:rsidRPr="006C1FA4">
              <w:rPr>
                <w:rFonts w:asciiTheme="minorEastAsia" w:eastAsiaTheme="minorEastAsia" w:hAnsiTheme="minorEastAsia" w:hint="eastAsia"/>
                <w:szCs w:val="21"/>
              </w:rPr>
              <w:lastRenderedPageBreak/>
              <w:t>び</w:t>
            </w:r>
          </w:p>
        </w:tc>
        <w:tc>
          <w:tcPr>
            <w:tcW w:w="6751" w:type="dxa"/>
          </w:tcPr>
          <w:p w14:paraId="27F4E871"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lastRenderedPageBreak/>
              <w:t>習得・活用・探究という学習プロ</w:t>
            </w:r>
            <w:r w:rsidRPr="006C1FA4">
              <w:rPr>
                <w:rFonts w:asciiTheme="minorEastAsia" w:eastAsiaTheme="minorEastAsia" w:hAnsiTheme="minorEastAsia" w:hint="eastAsia"/>
                <w:szCs w:val="21"/>
              </w:rPr>
              <w:lastRenderedPageBreak/>
              <w:t>セスの中で、問題発見・解決を念頭に置いた深い学びの過程が実現できているかどうか。</w:t>
            </w:r>
          </w:p>
        </w:tc>
      </w:tr>
      <w:tr w:rsidR="006C1FA4" w:rsidRPr="006C1FA4" w14:paraId="6259EE19" w14:textId="77777777" w:rsidTr="007C64AB">
        <w:trPr>
          <w:jc w:val="center"/>
        </w:trPr>
        <w:tc>
          <w:tcPr>
            <w:tcW w:w="1417" w:type="dxa"/>
          </w:tcPr>
          <w:p w14:paraId="239F7667"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lastRenderedPageBreak/>
              <w:t>対話的な学び</w:t>
            </w:r>
          </w:p>
        </w:tc>
        <w:tc>
          <w:tcPr>
            <w:tcW w:w="6751" w:type="dxa"/>
          </w:tcPr>
          <w:p w14:paraId="378E1F77"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他者との協働や外界との相互作用を通じて、自らの考えを広げ深める、対話的な学びの過程が実現できているかどうか。</w:t>
            </w:r>
          </w:p>
        </w:tc>
      </w:tr>
      <w:tr w:rsidR="006C1FA4" w:rsidRPr="006C1FA4" w14:paraId="35166B35" w14:textId="77777777" w:rsidTr="007C64AB">
        <w:trPr>
          <w:jc w:val="center"/>
        </w:trPr>
        <w:tc>
          <w:tcPr>
            <w:tcW w:w="1417" w:type="dxa"/>
          </w:tcPr>
          <w:p w14:paraId="2F101511"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主体的な学び</w:t>
            </w:r>
          </w:p>
        </w:tc>
        <w:tc>
          <w:tcPr>
            <w:tcW w:w="6751" w:type="dxa"/>
          </w:tcPr>
          <w:p w14:paraId="1704FACE"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子供たちが見通しを持って粘り強く取組、自らの学習活動を振り返って次につなげる、主体的な学びの過程が実現できているかどうか。</w:t>
            </w:r>
          </w:p>
        </w:tc>
      </w:tr>
    </w:tbl>
    <w:p w14:paraId="381B96D6" w14:textId="77777777" w:rsidR="006C1FA4" w:rsidRPr="006C1FA4" w:rsidRDefault="006C1FA4" w:rsidP="006C1FA4">
      <w:pPr>
        <w:ind w:left="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この視点を受けて文部科学省の「2020年代に向けた教育の情報化に関する懇談会」最終まとめ（平成28年7月）では、ポイントを以下に指摘しています。</w:t>
      </w:r>
    </w:p>
    <w:p w14:paraId="15766DA1"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子供たちは何が重要かを主体的に考え、他者と協働しながら新たな価値の創造に挑むとともに、新たな問題の発見・解決に取り組んでいくことが求められている。そのためには、「アクティブ・ラーニング」の視点から学び全体を改善し、個の学習ニーズや一人一人の個性に応じた資質・能力を育成するような学びを実現していくことが重要である。</w:t>
      </w:r>
    </w:p>
    <w:p w14:paraId="7B5883D0"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学校や学級という集団のメリットを生かし、他者との協働や外界との相互作用を通じて、自らの考えを広げ深める、対話的な学びの過程を実現する指導の改善が必要である。子供たちの発達の段階や、発達の特性、子供の学習形態の多様性、教育的ニーズに応じた指導を工夫して実践できるようにすることが重要である。また、子供が学習内容を確実に身に付けることができるよう、個別学習やグループ別学習、繰り返し学習、習熟度別学習、補充学習や発展的な学習等も重要である。</w:t>
      </w:r>
    </w:p>
    <w:p w14:paraId="0DC5C9F6"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また、小学校の外国語活動・外国語については、たとえば音声中心にデジタル教材や電子黒板等を活用して、ネイティブスピーカーの発音に触れ、日本語と英語の発音の違いに気付かせるなど、ＩＣＴの効果的な活用に期待が高い。</w:t>
      </w:r>
    </w:p>
    <w:p w14:paraId="77E19E8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このように、未来社会を見据えて育成すべき資質・能力を育むための「学び」やそれを実現していくための「学びの場」を形成するためにＩＣＴを効果的に活用することが重要である。</w:t>
      </w:r>
    </w:p>
    <w:p w14:paraId="258BC224"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さらに、このような「学び」を実現させていくためには、学校・教員だけで行うのではなく「社会に開かれた教育課程」の実現に向けて、地域との連携・協働を一層進めていくということも重要である。</w:t>
      </w:r>
    </w:p>
    <w:p w14:paraId="7DA3A6EE" w14:textId="77777777" w:rsid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ＩＣＴを活用することで、チームとしての学校の経営力を高め、教育の質の向上と教員が子供と向き合う時間的・精神的余裕を確保することにつながる。</w:t>
      </w:r>
    </w:p>
    <w:p w14:paraId="2461A0BD"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u w:val="single"/>
        </w:rPr>
      </w:pPr>
      <w:bookmarkStart w:id="5" w:name="_Toc472601143"/>
      <w:bookmarkStart w:id="6" w:name="_Toc472601241"/>
      <w:bookmarkStart w:id="7" w:name="_Toc473046382"/>
      <w:r w:rsidRPr="006C1FA4">
        <w:rPr>
          <w:rFonts w:asciiTheme="minorEastAsia" w:eastAsiaTheme="minorEastAsia" w:hAnsiTheme="minorEastAsia"/>
          <w:szCs w:val="21"/>
          <w:u w:val="single"/>
        </w:rPr>
        <w:t xml:space="preserve">1.1.2 </w:t>
      </w:r>
      <w:r w:rsidRPr="006C1FA4">
        <w:rPr>
          <w:rFonts w:asciiTheme="minorEastAsia" w:eastAsiaTheme="minorEastAsia" w:hAnsiTheme="minorEastAsia" w:hint="eastAsia"/>
          <w:szCs w:val="21"/>
          <w:u w:val="single"/>
        </w:rPr>
        <w:t>学校教育の情報化の現状</w:t>
      </w:r>
      <w:bookmarkEnd w:id="5"/>
      <w:bookmarkEnd w:id="6"/>
      <w:bookmarkEnd w:id="7"/>
    </w:p>
    <w:p w14:paraId="506038CB"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166F9E30"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■教育振興基本計画の流れ</w:t>
      </w:r>
    </w:p>
    <w:p w14:paraId="53145421"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＜教育振興基本計画とは何か？＞</w:t>
      </w:r>
    </w:p>
    <w:p w14:paraId="4DEC54C6"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平成18年に教育基本法が改正され、科学技術の進歩、情報化、国際化、少子高齢化などの今日的な課題を踏まえ、教育の基本理念が示されました。この理念の実現に向けて、教育基本法の規定に基づいて、政府の教育に関する総合的な計画として策定されたのが「教育振興基本計画」です。平成20年以降、さまざまな社会情勢の変化や、東日本大震災の発生などを踏まえ、25年6月に第2期の教育振興基本計画が策定されました。第2期教育振興基本計画は、平成25</w:t>
      </w:r>
      <w:r w:rsidRPr="006C1FA4">
        <w:rPr>
          <w:rFonts w:asciiTheme="minorEastAsia" w:eastAsiaTheme="minorEastAsia" w:hAnsiTheme="minorEastAsia" w:hint="eastAsia"/>
          <w:szCs w:val="21"/>
        </w:rPr>
        <w:lastRenderedPageBreak/>
        <w:t>年度から29年度の5年間を計画期間としています。（平成27年度文部科学白書第1章教育政策の総合的推進より）</w:t>
      </w:r>
    </w:p>
    <w:p w14:paraId="7E7D0126"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平成28年度は現在の第2期教育振興基本計画の計画期間後半に入り、ＩＣＴ環境の整備、活用を着実に進めていくために非常に大切な時期となっています。</w:t>
      </w:r>
    </w:p>
    <w:p w14:paraId="1CA20B1D"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0F911834"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■ＩＣＴ環境整備状況に関する地域、学校間格差</w:t>
      </w:r>
    </w:p>
    <w:p w14:paraId="4C5A2D00" w14:textId="77777777" w:rsidR="006C1FA4" w:rsidRPr="006C1FA4" w:rsidRDefault="006C1FA4" w:rsidP="006C1FA4">
      <w:pPr>
        <w:numPr>
          <w:ilvl w:val="0"/>
          <w:numId w:val="16"/>
        </w:numPr>
        <w:ind w:leftChars="200" w:left="852"/>
        <w:outlineLvl w:val="0"/>
        <w:rPr>
          <w:rFonts w:asciiTheme="minorEastAsia" w:eastAsiaTheme="minorEastAsia" w:hAnsiTheme="minorEastAsia"/>
          <w:bCs/>
          <w:szCs w:val="21"/>
        </w:rPr>
      </w:pPr>
      <w:r w:rsidRPr="006C1FA4">
        <w:rPr>
          <w:rFonts w:asciiTheme="minorEastAsia" w:eastAsiaTheme="minorEastAsia" w:hAnsiTheme="minorEastAsia" w:hint="eastAsia"/>
          <w:szCs w:val="21"/>
        </w:rPr>
        <w:t xml:space="preserve">　第2期教育振興基本計画において定められた児童生徒用コンピュータなど5項目の目標とする整備水準に関して、国は</w:t>
      </w:r>
      <w:r w:rsidRPr="006C1FA4">
        <w:rPr>
          <w:rFonts w:asciiTheme="minorEastAsia" w:eastAsiaTheme="minorEastAsia" w:hAnsiTheme="minorEastAsia" w:hint="eastAsia"/>
          <w:bCs/>
          <w:szCs w:val="21"/>
        </w:rPr>
        <w:t>平成26年度～平成29年度まで単年度1,678億円（4年間計6,712億円）の地方財政措置を講じることで目標達成に向けて取り組んでいます。</w:t>
      </w:r>
    </w:p>
    <w:p w14:paraId="3A7D35FD" w14:textId="77777777" w:rsidR="006C1FA4" w:rsidRPr="006C1FA4" w:rsidRDefault="006C1FA4" w:rsidP="006C1FA4">
      <w:pPr>
        <w:numPr>
          <w:ilvl w:val="0"/>
          <w:numId w:val="16"/>
        </w:numPr>
        <w:ind w:leftChars="200" w:left="852"/>
        <w:outlineLvl w:val="0"/>
        <w:rPr>
          <w:rFonts w:asciiTheme="minorEastAsia" w:eastAsiaTheme="minorEastAsia" w:hAnsiTheme="minorEastAsia"/>
          <w:bCs/>
          <w:szCs w:val="21"/>
        </w:rPr>
      </w:pPr>
      <w:r w:rsidRPr="006C1FA4">
        <w:rPr>
          <w:rFonts w:asciiTheme="minorEastAsia" w:eastAsiaTheme="minorEastAsia" w:hAnsiTheme="minorEastAsia" w:hint="eastAsia"/>
          <w:bCs/>
          <w:szCs w:val="21"/>
        </w:rPr>
        <w:t>しかし、次の図の通り整備状況は地域差が生じており、どの地方公共団体、地域でも社会の情報化にふさわしいＩＣＴ環境が整備されているわけではありません。特に児童生徒が使用する教育用コンピュータや電子黒板等の大型提示装置、無線ＬＡＮについては、教職員が使いたい時にいつでも使える環境を整備することが望まれます。</w:t>
      </w:r>
    </w:p>
    <w:p w14:paraId="3B81830C"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u w:val="single"/>
        </w:rPr>
      </w:pPr>
      <w:bookmarkStart w:id="8" w:name="_Toc473046383"/>
      <w:r w:rsidRPr="006C1FA4">
        <w:rPr>
          <w:rFonts w:asciiTheme="minorEastAsia" w:eastAsiaTheme="minorEastAsia" w:hAnsiTheme="minorEastAsia" w:hint="eastAsia"/>
          <w:szCs w:val="21"/>
          <w:u w:val="single"/>
        </w:rPr>
        <w:t>1.1.3 教育情報化の重要性</w:t>
      </w:r>
      <w:bookmarkEnd w:id="8"/>
    </w:p>
    <w:p w14:paraId="728D4823"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「教育の情報化」とは、指導場面に着目した従来の整理とともに、昨今の教員の事務負担の軽減等の観点も含め、</w:t>
      </w:r>
    </w:p>
    <w:tbl>
      <w:tblPr>
        <w:tblStyle w:val="a9"/>
        <w:tblW w:w="0" w:type="auto"/>
        <w:tblInd w:w="817" w:type="dxa"/>
        <w:tblLook w:val="04A0" w:firstRow="1" w:lastRow="0" w:firstColumn="1" w:lastColumn="0" w:noHBand="0" w:noVBand="1"/>
      </w:tblPr>
      <w:tblGrid>
        <w:gridCol w:w="3495"/>
      </w:tblGrid>
      <w:tr w:rsidR="006C1FA4" w:rsidRPr="006C1FA4" w14:paraId="48DD9E35" w14:textId="77777777" w:rsidTr="007C64AB">
        <w:tc>
          <w:tcPr>
            <w:tcW w:w="8080" w:type="dxa"/>
          </w:tcPr>
          <w:p w14:paraId="31154C52"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・情報教育〜子供たちの情報活用能力の育成〜</w:t>
            </w:r>
          </w:p>
          <w:p w14:paraId="191DA4F5"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・教科指導での</w:t>
            </w:r>
            <w:r w:rsidRPr="006C1FA4">
              <w:rPr>
                <w:rFonts w:asciiTheme="minorEastAsia" w:eastAsiaTheme="minorEastAsia" w:hAnsiTheme="minorEastAsia"/>
                <w:szCs w:val="21"/>
              </w:rPr>
              <w:t>ＩＣＴ</w:t>
            </w:r>
            <w:r w:rsidRPr="006C1FA4">
              <w:rPr>
                <w:rFonts w:asciiTheme="minorEastAsia" w:eastAsiaTheme="minorEastAsia" w:hAnsiTheme="minorEastAsia" w:hint="eastAsia"/>
                <w:szCs w:val="21"/>
              </w:rPr>
              <w:t>活用〜各教科等の目標を達成する際に効果的に情報</w:t>
            </w:r>
            <w:r w:rsidRPr="006C1FA4">
              <w:rPr>
                <w:rFonts w:asciiTheme="minorEastAsia" w:eastAsiaTheme="minorEastAsia" w:hAnsiTheme="minorEastAsia" w:hint="eastAsia"/>
                <w:szCs w:val="21"/>
              </w:rPr>
              <w:t>機器を活用すること〜</w:t>
            </w:r>
          </w:p>
          <w:p w14:paraId="214E0334"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・校務の情報化〜教員の事務負担の軽減と子供と向き合う時間の確保〜</w:t>
            </w:r>
          </w:p>
        </w:tc>
      </w:tr>
    </w:tbl>
    <w:p w14:paraId="790B398F"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の3つの側面があり、これらをそれぞれ充実していくことを通して教育の質の向上を目指すものです。</w:t>
      </w:r>
    </w:p>
    <w:p w14:paraId="4BA6B915"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情報教育の側面では、社会がグローバル化、情報化の大きな動きの中でさまざまに変化していく中、子供たちが生涯を通して主体的に対応できるよう情報活用の実践力を育んでいきます。そのために、基礎となる情報手段の特性や情報を適切に扱うための基礎的な理論、方法などを学ぶとともに、情報や情報技術の役割、影響、情報モラル等を身に付け、望ましい情報社会の創造に対して積極的に参画する態度を養います。</w:t>
      </w:r>
    </w:p>
    <w:p w14:paraId="561733A5"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教科指導における情報通信技術の活用については、授業や学習の指導案作りから実践、評価におけるＩＣＴ活用の側面に着目しています。教員が子供たちにとってわかりやすい授業、学習を実現していくことで、子供たちの「確かな学力」が身についていきます。特に、今後の学びの在り方として重視されているアクティブ・ラーニングの視点に立った学習を行っていったり、子供数が非常に少ない山間部等の学校での「子供の関係固定化」、「自己の環境で得られにくい学習機会・教材が多い」といったさまざまな課題に対する支援を考えたりする際、ＩＣＴの活用は有効な手段と言えます。</w:t>
      </w:r>
    </w:p>
    <w:p w14:paraId="532512B0"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しかし、指導案づくりや教材検討に十分な時間を割くことができない「教員の多忙化」という問題が現実に存在しています。この点でも、校</w:t>
      </w:r>
      <w:r w:rsidRPr="006C1FA4">
        <w:rPr>
          <w:rFonts w:asciiTheme="minorEastAsia" w:eastAsiaTheme="minorEastAsia" w:hAnsiTheme="minorEastAsia" w:hint="eastAsia"/>
          <w:szCs w:val="21"/>
        </w:rPr>
        <w:lastRenderedPageBreak/>
        <w:t>務支援システムの導入、活用などＩＣＴを活用した校務の効率化を図ることで、教員の多忙感を解消し、子供と向き合う時間を確保していくこと、すなわち教育の質の向上が可能となります。</w:t>
      </w:r>
    </w:p>
    <w:p w14:paraId="4D5C2099"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一方で、どれだけ効果が高いものであってもリスクの側面があることには注意が必要です。コミュニティサイトでの「ネットいじめ」、リベンジポルノなどのインターネット犯罪を始め、ＩＣＴが負の側面で使われていることは社会問題となっています。子供の生活時間もスマートフォンの利用等で大きく影響を受けており、依存症等の指摘がされる場合もあります。このような負の側面とそれに対する対処方法について、情報モラル／情報リテラシー教育を通じて子供自身および保護者が正しく理解し適切に行動することがますます重要になっています。</w:t>
      </w:r>
    </w:p>
    <w:p w14:paraId="625B6043" w14:textId="77777777" w:rsidR="006C1FA4" w:rsidRPr="006C1FA4" w:rsidRDefault="006C1FA4" w:rsidP="006C1FA4">
      <w:pPr>
        <w:numPr>
          <w:ilvl w:val="0"/>
          <w:numId w:val="16"/>
        </w:numPr>
        <w:ind w:leftChars="200" w:left="852"/>
        <w:outlineLvl w:val="0"/>
        <w:rPr>
          <w:rFonts w:asciiTheme="minorEastAsia" w:eastAsiaTheme="minorEastAsia" w:hAnsiTheme="minorEastAsia"/>
          <w:b/>
          <w:szCs w:val="21"/>
        </w:rPr>
      </w:pPr>
      <w:r w:rsidRPr="006C1FA4">
        <w:rPr>
          <w:rFonts w:asciiTheme="minorEastAsia" w:eastAsiaTheme="minorEastAsia" w:hAnsiTheme="minorEastAsia" w:hint="eastAsia"/>
          <w:szCs w:val="21"/>
        </w:rPr>
        <w:t xml:space="preserve">　教育におけるＩＣＴ活用を通じて教育の質を向上していくためには「教員のＩＣＴ活用指導力の向上（研修等）、学校のＩＣＴ環境整備が必要であるとともに、教育の情報化を推進するための教育委員会や学校におけるサポート体制の整備が極めて重要である」（2020年代に向けた教育の情報化に関する懇談会　最終まとめ）と言う点にも着目する必要があるでしょう。</w:t>
      </w:r>
    </w:p>
    <w:p w14:paraId="75B76F8C"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u w:val="single"/>
        </w:rPr>
      </w:pPr>
      <w:bookmarkStart w:id="9" w:name="_Toc472601148"/>
      <w:bookmarkStart w:id="10" w:name="_Toc472601246"/>
      <w:bookmarkStart w:id="11" w:name="_Toc473046388"/>
      <w:r w:rsidRPr="006C1FA4">
        <w:rPr>
          <w:rFonts w:asciiTheme="minorEastAsia" w:eastAsiaTheme="minorEastAsia" w:hAnsiTheme="minorEastAsia" w:hint="eastAsia"/>
          <w:szCs w:val="21"/>
          <w:u w:val="single"/>
        </w:rPr>
        <w:t>1.3 学校におけるネットワーク整備</w:t>
      </w:r>
      <w:bookmarkEnd w:id="9"/>
      <w:bookmarkEnd w:id="10"/>
      <w:bookmarkEnd w:id="11"/>
    </w:p>
    <w:p w14:paraId="193F4B3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u w:val="single"/>
        </w:rPr>
      </w:pPr>
      <w:bookmarkStart w:id="12" w:name="_Toc472601149"/>
      <w:bookmarkStart w:id="13" w:name="_Toc472601247"/>
      <w:bookmarkStart w:id="14" w:name="_Toc473046389"/>
      <w:r w:rsidRPr="006C1FA4">
        <w:rPr>
          <w:rFonts w:asciiTheme="minorEastAsia" w:eastAsiaTheme="minorEastAsia" w:hAnsiTheme="minorEastAsia"/>
          <w:szCs w:val="21"/>
          <w:u w:val="single"/>
        </w:rPr>
        <w:t xml:space="preserve">1.3.1 </w:t>
      </w:r>
      <w:r w:rsidRPr="006C1FA4">
        <w:rPr>
          <w:rFonts w:asciiTheme="minorEastAsia" w:eastAsiaTheme="minorEastAsia" w:hAnsiTheme="minorEastAsia" w:hint="eastAsia"/>
          <w:szCs w:val="21"/>
          <w:u w:val="single"/>
        </w:rPr>
        <w:t>学校におけるネットワーク</w:t>
      </w:r>
      <w:bookmarkEnd w:id="12"/>
      <w:bookmarkEnd w:id="13"/>
      <w:bookmarkEnd w:id="14"/>
    </w:p>
    <w:p w14:paraId="2C35527A"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14A9CF77"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■ＩＣＴ環境を構成する要素</w:t>
      </w:r>
    </w:p>
    <w:p w14:paraId="5188C419"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学校のＩＣＴ環境はアプリケーション、認証等のミドルウェア、ネットワーク等の要素で構成され、それ</w:t>
      </w:r>
      <w:r w:rsidRPr="006C1FA4">
        <w:rPr>
          <w:rFonts w:asciiTheme="minorEastAsia" w:eastAsiaTheme="minorEastAsia" w:hAnsiTheme="minorEastAsia" w:hint="eastAsia"/>
          <w:szCs w:val="21"/>
        </w:rPr>
        <w:t>ぞれについて設計・調達／構築、導入後の保守・運用、セキュリティなど、さまざまな要素を考慮して整備します。セキュリティについては第2章で詳細に解説します。まず、ＩＣＴのC、コミュニケーションを支えるネットワークについてポイントをまとめます。</w:t>
      </w:r>
    </w:p>
    <w:p w14:paraId="06D7D1F2"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209DE2BE"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■ネットワークの分類</w:t>
      </w:r>
    </w:p>
    <w:p w14:paraId="641064D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 xml:space="preserve">　ネットワークは①利用目的、②サーバ類の配置という２つの分類方法を意識します。この分類は、通信機器の選択等に影響する通信負荷の大きさ、情報セキュリティを考慮するための基本となります。</w:t>
      </w:r>
    </w:p>
    <w:p w14:paraId="63F999CB"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利用目的による分類（校務支援系ネットワークと授業支援系ネットワーク）</w:t>
      </w:r>
    </w:p>
    <w:p w14:paraId="798DED17"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学校においては、一般的に次の二種類の利用を目的としたネットワーク環境を整備する必要があります。</w:t>
      </w:r>
    </w:p>
    <w:p w14:paraId="54CD7E3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校務支援系ネットワーク</w:t>
      </w:r>
    </w:p>
    <w:p w14:paraId="6A7015B7"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校務支援系ネットワークは、アプリケーションがネットワーク上の機器を用いて、「学籍管理」「出欠席管理」「成績管理」「通知表作成」「指導要録作成」等の機能を提供する校務支援システム用ネットワークです。</w:t>
      </w:r>
    </w:p>
    <w:p w14:paraId="68FDF27B"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職員室や教科準備室内での利用が一般的ですが、校務支援システムは事務室・図書室・保健室など、職員室以外でも利用されることが多いため、校内全域をカバーするように構築されているケースも少なくありません。校務支援システムは、上記のような機能を実現するものであることから、必然的に子供や教職員の個人情報が取り扱われる場合が多いと言えます。このため、安全・安心なネットワー</w:t>
      </w:r>
      <w:r w:rsidRPr="006C1FA4">
        <w:rPr>
          <w:rFonts w:asciiTheme="minorEastAsia" w:eastAsiaTheme="minorEastAsia" w:hAnsiTheme="minorEastAsia" w:hint="eastAsia"/>
          <w:szCs w:val="21"/>
        </w:rPr>
        <w:lastRenderedPageBreak/>
        <w:t>ク構築が必要とされます。</w:t>
      </w:r>
    </w:p>
    <w:p w14:paraId="714C5330"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授業支援系ネットワーク（学習系システムネットワーク）</w:t>
      </w:r>
    </w:p>
    <w:p w14:paraId="182057F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授業支援系ネットワーク上では、アプリケーションが「教材・コンテンツの閲覧、配信」や「協働学習支援」等の機能を提供します。授業等の学習の支援が目的のため、普通教室やパソコン教室に限らず体育館・校庭等学校内全域で利用されることがあります。利用者も教職員のみではなく、子供が利用する場面があります。授業の進行に応じて多種多様な教材・コンテンツが利用されるもので、インターネット経由でNHK for Schoolのようなクラウド上のコンテンツを利用する例も多く見られます。学習系システムは授業や学習を円滑に進められるよう、ストレスなく利用できるネットワークが必要とされます。</w:t>
      </w:r>
    </w:p>
    <w:p w14:paraId="2BDB7E91"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２つのネットワークは頻繁に利用される時期（校務支援系は学期初・学期末に利用されることが多い）、頻繁に利用される時間帯（校務支援系は朝夕に、授業支援系は授業中に利用されることが多い）、といった利用パターンの違いもあります。また、校務支援系はテキスト情報が中心のため、相対的にデータ量が小さいのに対して、授業支援系は音声や動画等が多用されることから、相対的にデータ量が大きく、同時に多数の子供がアクセスすることも多くなります。</w:t>
      </w:r>
    </w:p>
    <w:p w14:paraId="78A40619"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このように、校務支援系ネットワークと授業支援系ネットワークは、かなり性格の異なるネットワークと言うことができますので、利用実態に応じたネットワーク構築・運用を進める必要があります。</w:t>
      </w:r>
    </w:p>
    <w:p w14:paraId="478AE26B"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これらのニーズを満たす学校におけるネットワーク環境の整備には多くのコストが必要となることから、実際の活用場面を想定し、段階的な整備を進めていくことが必要となります。</w:t>
      </w:r>
    </w:p>
    <w:p w14:paraId="361D0E1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13B285CA"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②サーバ類の設置先による分類（クラウド、センター、学校）</w:t>
      </w:r>
    </w:p>
    <w:p w14:paraId="42C34C6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学校におけるネットワーク内の各種サーバ類の設置先は大きく3つに分類されます。</w:t>
      </w:r>
    </w:p>
    <w:p w14:paraId="59570A32"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●クラウド：インターネットを経由して提供されるサービス（例：楽天、Amazon、Google等のようなサービス）</w:t>
      </w:r>
    </w:p>
    <w:p w14:paraId="7B2F06E3"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●センター：都道府県や市区町村等、エリア内のネットワーク専用に設置されたデータセンター</w:t>
      </w:r>
    </w:p>
    <w:p w14:paraId="562833CA"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●学校</w:t>
      </w:r>
    </w:p>
    <w:p w14:paraId="5F57BA00"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一般的に、安全性や保守運用性の観点から、サーバ類は学校内よりもクラウドやセンターに設置する方が望ましいといわれています。特に学校数が多い場合、教育委員会はクラウドもしくはセンターにサーバ類を設置することによって、一元的・効率的な管理・運用が可能となり、学校ごとに安全対策を講じたり、メンテナンス対応を実施したりする等の管理負担を低減することができます。</w:t>
      </w:r>
    </w:p>
    <w:p w14:paraId="4387883D"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サーバ類の設置場所の検討に際しては、図表の観点等を基に、各地方公共団体の状況に応じて具体的なメリット・デメリットを想定することが必要です。</w:t>
      </w:r>
    </w:p>
    <w:p w14:paraId="2F11D48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u w:val="single"/>
        </w:rPr>
      </w:pPr>
      <w:bookmarkStart w:id="15" w:name="_Toc473046390"/>
      <w:r w:rsidRPr="006C1FA4">
        <w:rPr>
          <w:rFonts w:asciiTheme="minorEastAsia" w:eastAsiaTheme="minorEastAsia" w:hAnsiTheme="minorEastAsia" w:hint="eastAsia"/>
          <w:szCs w:val="21"/>
          <w:u w:val="single"/>
        </w:rPr>
        <w:t>1.3.2 学校におけるネットワークの構成</w:t>
      </w:r>
      <w:bookmarkEnd w:id="15"/>
    </w:p>
    <w:p w14:paraId="5A13312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2D51BDE0"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■ネットワークの分離</w:t>
      </w:r>
    </w:p>
    <w:p w14:paraId="33EDF4E5"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校務支援系システムはもっぱら教職</w:t>
      </w:r>
      <w:r w:rsidRPr="006C1FA4">
        <w:rPr>
          <w:rFonts w:asciiTheme="minorEastAsia" w:eastAsiaTheme="minorEastAsia" w:hAnsiTheme="minorEastAsia" w:hint="eastAsia"/>
          <w:szCs w:val="21"/>
        </w:rPr>
        <w:lastRenderedPageBreak/>
        <w:t>員が利用し、個人情報や機微情報が取り扱われることが多いシステムです。一方、授業支援系システムは、機密情報を取り扱うことは少ないものの、教職員のみならず子供も利用することが多いシステムです。これらのシステムが同じネットワークの上で運用されていると、場合によっては、校務支援系システム内の機密情報に子供がアクセスしてしまう可能性を否定できません。</w:t>
      </w:r>
    </w:p>
    <w:p w14:paraId="4AD8C9B6"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校務支援系システムで利用される情報の秘匿性を確保するため、校務支援系ネットワークと授業支援系ネットワークとはそれぞれ専用のネットワークに分離して扱うことが必要になります。平成28年夏に文部科学省から発出された「教育情報セキュリティのための緊急提言」においても、校務系システムと授業支援系システムを分離して、子供が校務情報にアクセスすることがないように求めています。（2.2.4参照）</w:t>
      </w:r>
    </w:p>
    <w:p w14:paraId="79BF20C2"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校務支援系ネットワークと授業支援系ネットワークを分離して構築・運用するためには、「物理的分離」と「論理的分離」の2つの方法があります。</w:t>
      </w:r>
    </w:p>
    <w:p w14:paraId="3458A3EB"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物理的分離」とは、校務支援系ネットワークと授業支援系ネットワークをまったく別のネットワークとして構築・運用する考え方です。学校の中に、校務支援系ネットワークである校内ＬＡＮと、授業支援系ネットワークである校内ＬＡＮという２つの校内ＬＡＮを構築し、両方のネットワークに接続する機器等を設置せずに運用します。物理的に分離することで、授業支援系システムの利用者である子供は、校務支援系システム内の情報にアクセスすることが</w:t>
      </w:r>
      <w:r w:rsidRPr="006C1FA4">
        <w:rPr>
          <w:rFonts w:asciiTheme="minorEastAsia" w:eastAsiaTheme="minorEastAsia" w:hAnsiTheme="minorEastAsia" w:hint="eastAsia"/>
          <w:szCs w:val="21"/>
        </w:rPr>
        <w:t>できません。</w:t>
      </w:r>
    </w:p>
    <w:p w14:paraId="2EDA7D11"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物理的分離」は機密情報を守る点では確実な手段ですが、それぞれのシステムの専用端末の購入、２つのネットワークの設置工事、設置スペースの確保が必要なため工数やコストがかさみがちです。さらに、教職員が校務系と授業支援系にまたがった業務を行う場合、離れた端末まで移動しなければならなかったり、校務系端末と授業支援系端末との間でデータ共有ができなかったり、と利用者の利便性低下が懸念されます。また、システム規模が大きくなるほど、導入コストや管理負荷が増大する恐れがあります。</w:t>
      </w:r>
    </w:p>
    <w:p w14:paraId="0EFCCDE5"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ネットワーク分離の手法として、「物理的分離」ではなく「論理的分離」という方法が採られることがあります。</w:t>
      </w:r>
    </w:p>
    <w:p w14:paraId="13738011"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校務支援系システムと授業支援系システムとを同一の物理ネットワーク内に構築するものの、ルータ等のネットワーク機器によって、別々のネットワークとして運用し、相互間の通信を制御することができます。道路上に車線変更禁止のレーンがあり、一つのレーンにいる車は別のレーンと違う目的地に行く状況をイメージしてください。また、1台の機器をあたかも複数台の機器であるかのように運用する仮想化と呼ばれる技術を用いる論理的分離の方法もあります。</w:t>
      </w:r>
    </w:p>
    <w:p w14:paraId="10111EB4"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このような方法によって、校務支援系システム上の機密情報に子供がアクセスすることを防ぐことができます。</w:t>
      </w:r>
    </w:p>
    <w:p w14:paraId="7BD39FC0"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00A48A15"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■システムへの接続パターン</w:t>
      </w:r>
    </w:p>
    <w:p w14:paraId="58C1F85B" w14:textId="4351E886" w:rsid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ネットワークを分離すると、校務支</w:t>
      </w:r>
      <w:r w:rsidRPr="006C1FA4">
        <w:rPr>
          <w:rFonts w:asciiTheme="minorEastAsia" w:eastAsiaTheme="minorEastAsia" w:hAnsiTheme="minorEastAsia" w:hint="eastAsia"/>
          <w:szCs w:val="21"/>
        </w:rPr>
        <w:lastRenderedPageBreak/>
        <w:t>援系ネットワークに接続されている端末機器は校務支援系システムに、授業支援系ネットワークに接続されている端末機器は学習系システムに接続することになります。この接続方法はサーバ（システム）の設置場所によって、それぞれ４通りにパターン分けすることが可能です</w:t>
      </w:r>
    </w:p>
    <w:p w14:paraId="7B173C30"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校務支援系でも授業支援系でも、情報システムやコンテンツは日々更新されるため、サーバやネットワークの管理には専門的な知識を有した技術者が必要です。個々の学校では教育専門職の教員が大多数を占めており、規模もまちまちなことから、設計段階で市等の単位でまとまって管理していくように考慮すべきです。また、市町村の規模も大小があることを考慮して、中核市など一定以上の規模の地方公共団体では上記のパターン１（プライベートクラウド）、それ以外の地方公共団体では情報セキュリティに配慮しつつパターン２、３の形態とすることを積極的に検討するとよいでしょう。</w:t>
      </w:r>
    </w:p>
    <w:p w14:paraId="456D0788"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北海道における校務支援システムのように、都道府県が中心となって校務支援システムや学習コンテンツ等を傘下の地方公共団体・学校が共同利用できる仕組みを用意している事例もあります。これらは、システム調達や運用のコストを共通化し、限られた予算を有効に使う点で参考となるでしょう。</w:t>
      </w:r>
    </w:p>
    <w:p w14:paraId="5EEE7EBB"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u w:val="single"/>
        </w:rPr>
      </w:pPr>
      <w:bookmarkStart w:id="16" w:name="_Toc473046391"/>
      <w:r w:rsidRPr="006C1FA4">
        <w:rPr>
          <w:rFonts w:asciiTheme="minorEastAsia" w:eastAsiaTheme="minorEastAsia" w:hAnsiTheme="minorEastAsia" w:hint="eastAsia"/>
          <w:szCs w:val="21"/>
          <w:u w:val="single"/>
        </w:rPr>
        <w:t>1.3.3 学校におけるネットワークの設計</w:t>
      </w:r>
      <w:bookmarkEnd w:id="16"/>
    </w:p>
    <w:p w14:paraId="7E80A253"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27E0348D"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■学校におけるネットワークの設計手順と検討項目</w:t>
      </w:r>
    </w:p>
    <w:p w14:paraId="5F4CDC5D"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ネットワークを設計する際には、要</w:t>
      </w:r>
      <w:r w:rsidRPr="006C1FA4">
        <w:rPr>
          <w:rFonts w:asciiTheme="minorEastAsia" w:eastAsiaTheme="minorEastAsia" w:hAnsiTheme="minorEastAsia" w:hint="eastAsia"/>
          <w:szCs w:val="21"/>
        </w:rPr>
        <w:t>件定義の段階で平常時／ピーク時の通信量、同時アクセス数、アクセス先のサーバの配置場所とそこに至る通信経路等を明らかにし、ボトルネックが発生しないよう機器やケーブル、公衆回線（ＷＡＮ）サービスを選定していきます。特にタブレット機器等を活用する授業支援系ネットワークでは、ネットワークにかかる負荷が大きいため、これを例にネットワークの整備手順を確認しましょう。</w:t>
      </w:r>
    </w:p>
    <w:p w14:paraId="22AEBF24"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r w:rsidRPr="006C1FA4">
        <w:rPr>
          <w:rFonts w:asciiTheme="minorEastAsia" w:eastAsiaTheme="minorEastAsia" w:hAnsiTheme="minorEastAsia" w:hint="eastAsia"/>
          <w:szCs w:val="21"/>
        </w:rPr>
        <w:t>下図は無線ＬＡＮを含む授業支援ネットワーク整備の手順を示したものです。長期間使うことになるネットワークを効率的に整備するためには、このように適切な手順を経て検討、設計を進めていく必要があります。</w:t>
      </w:r>
    </w:p>
    <w:p w14:paraId="7743B22C" w14:textId="77777777" w:rsidR="006C1FA4" w:rsidRPr="006C1FA4" w:rsidRDefault="006C1FA4" w:rsidP="006C1FA4">
      <w:pPr>
        <w:numPr>
          <w:ilvl w:val="0"/>
          <w:numId w:val="16"/>
        </w:numPr>
        <w:ind w:leftChars="200" w:left="852"/>
        <w:outlineLvl w:val="0"/>
        <w:rPr>
          <w:rFonts w:asciiTheme="minorEastAsia" w:eastAsiaTheme="minorEastAsia" w:hAnsiTheme="minorEastAsia"/>
          <w:szCs w:val="21"/>
        </w:rPr>
      </w:pPr>
    </w:p>
    <w:p w14:paraId="77147B96" w14:textId="77777777" w:rsidR="006C1FA4" w:rsidRPr="006C1FA4" w:rsidRDefault="006C1FA4" w:rsidP="006C1FA4">
      <w:pPr>
        <w:ind w:left="2"/>
        <w:outlineLvl w:val="0"/>
        <w:rPr>
          <w:rFonts w:asciiTheme="minorEastAsia" w:eastAsiaTheme="minorEastAsia" w:hAnsiTheme="minorEastAsia"/>
          <w:szCs w:val="21"/>
        </w:rPr>
      </w:pPr>
    </w:p>
    <w:sectPr w:rsidR="006C1FA4" w:rsidRPr="006C1FA4" w:rsidSect="00FD62E1">
      <w:type w:val="continuous"/>
      <w:pgSz w:w="11906" w:h="16838" w:code="9"/>
      <w:pgMar w:top="1701" w:right="1418" w:bottom="1701" w:left="1418" w:header="851" w:footer="992" w:gutter="0"/>
      <w:cols w:num="2" w:space="425" w:equalWidth="0">
        <w:col w:w="4322" w:space="425"/>
        <w:col w:w="4322"/>
      </w:cols>
      <w:docGrid w:type="linesAndChars" w:linePitch="335" w:charSpace="1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DE70" w14:textId="77777777" w:rsidR="000D1225" w:rsidRDefault="000D1225">
      <w:r>
        <w:separator/>
      </w:r>
    </w:p>
  </w:endnote>
  <w:endnote w:type="continuationSeparator" w:id="0">
    <w:p w14:paraId="11926FBF" w14:textId="77777777" w:rsidR="000D1225" w:rsidRDefault="000D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F84B" w14:textId="77777777" w:rsidR="00A71EAD" w:rsidRDefault="00A71EAD" w:rsidP="00E524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162412" w14:textId="77777777" w:rsidR="00A71EAD" w:rsidRDefault="00A71EA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F538" w14:textId="2450E14F" w:rsidR="00A71EAD" w:rsidRDefault="00A71EAD">
    <w:pPr>
      <w:pStyle w:val="a3"/>
      <w:jc w:val="center"/>
    </w:pPr>
    <w:r>
      <w:rPr>
        <w:rFonts w:hint="eastAsia"/>
      </w:rPr>
      <w:t>-</w:t>
    </w:r>
    <w:sdt>
      <w:sdtPr>
        <w:id w:val="2009866329"/>
        <w:docPartObj>
          <w:docPartGallery w:val="Page Numbers (Bottom of Page)"/>
          <w:docPartUnique/>
        </w:docPartObj>
      </w:sdtPr>
      <w:sdtEndPr/>
      <w:sdtContent>
        <w:r>
          <w:fldChar w:fldCharType="begin"/>
        </w:r>
        <w:r>
          <w:instrText>PAGE   \* MERGEFORMAT</w:instrText>
        </w:r>
        <w:r>
          <w:fldChar w:fldCharType="separate"/>
        </w:r>
        <w:r w:rsidR="00CD527F" w:rsidRPr="00CD527F">
          <w:rPr>
            <w:noProof/>
            <w:lang w:val="ja-JP"/>
          </w:rPr>
          <w:t>4</w:t>
        </w:r>
        <w:r>
          <w:fldChar w:fldCharType="end"/>
        </w:r>
        <w:r>
          <w:rPr>
            <w:rFonts w:hint="eastAsia"/>
          </w:rPr>
          <w:t>-</w:t>
        </w:r>
      </w:sdtContent>
    </w:sdt>
  </w:p>
  <w:p w14:paraId="2AB5493A" w14:textId="77777777" w:rsidR="00A71EAD" w:rsidRDefault="00A71EA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28FE" w14:textId="45B7961F" w:rsidR="00A71EAD" w:rsidRPr="003F4F77" w:rsidRDefault="00A71EAD">
    <w:pPr>
      <w:pStyle w:val="a3"/>
      <w:rPr>
        <w:rFonts w:asciiTheme="minorEastAsia" w:eastAsiaTheme="minorEastAsia" w:hAnsiTheme="minorEastAsia"/>
        <w:sz w:val="16"/>
      </w:rPr>
    </w:pPr>
    <w:r w:rsidRPr="003F4F77">
      <w:rPr>
        <w:rFonts w:asciiTheme="minorEastAsia" w:eastAsiaTheme="minorEastAsia" w:hAnsiTheme="minorEastAsia" w:hint="eastAsia"/>
        <w:sz w:val="16"/>
      </w:rPr>
      <w:t>※</w:t>
    </w:r>
    <w:r w:rsidR="00D52C0B">
      <w:rPr>
        <w:rFonts w:asciiTheme="minorEastAsia" w:eastAsiaTheme="minorEastAsia" w:hAnsiTheme="minorEastAsia" w:hint="eastAsia"/>
        <w:sz w:val="16"/>
      </w:rPr>
      <w:t>1</w:t>
    </w:r>
    <w:r w:rsidRPr="003F4F77">
      <w:rPr>
        <w:rFonts w:asciiTheme="minorEastAsia" w:eastAsiaTheme="minorEastAsia" w:hAnsiTheme="minorEastAsia" w:hint="eastAsia"/>
        <w:sz w:val="16"/>
      </w:rPr>
      <w:t xml:space="preserve">　</w:t>
    </w:r>
    <w:r>
      <w:rPr>
        <w:rFonts w:asciiTheme="minorEastAsia" w:eastAsiaTheme="minorEastAsia" w:hAnsiTheme="minorEastAsia" w:hint="eastAsia"/>
        <w:sz w:val="16"/>
      </w:rPr>
      <w:t>KUZE</w:t>
    </w:r>
    <w:r w:rsidR="00C974FE">
      <w:rPr>
        <w:rFonts w:asciiTheme="minorEastAsia" w:eastAsiaTheme="minorEastAsia" w:hAnsiTheme="minorEastAsia" w:hint="eastAsia"/>
        <w:sz w:val="16"/>
      </w:rPr>
      <w:t>，</w:t>
    </w:r>
    <w:r>
      <w:rPr>
        <w:rFonts w:asciiTheme="minorEastAsia" w:eastAsiaTheme="minorEastAsia" w:hAnsiTheme="minorEastAsia" w:hint="eastAsia"/>
        <w:sz w:val="16"/>
      </w:rPr>
      <w:t>Hitoshi</w:t>
    </w:r>
    <w:r w:rsidRPr="003F4F77">
      <w:rPr>
        <w:rFonts w:asciiTheme="minorEastAsia" w:eastAsiaTheme="minorEastAsia" w:hAnsiTheme="minorEastAsia" w:hint="eastAsia"/>
        <w:sz w:val="16"/>
      </w:rPr>
      <w:t xml:space="preserve">　</w:t>
    </w:r>
    <w:r w:rsidR="00CC1109" w:rsidRPr="003F4F77">
      <w:rPr>
        <w:rFonts w:asciiTheme="minorEastAsia" w:eastAsiaTheme="minorEastAsia" w:hAnsiTheme="minorEastAsia"/>
        <w:noProof/>
        <w:sz w:val="16"/>
      </w:rPr>
      <w:t xml:space="preserve"> </w:t>
    </w:r>
    <w:r w:rsidRPr="003F4F77">
      <w:rPr>
        <w:rFonts w:asciiTheme="minorEastAsia" w:eastAsiaTheme="minorEastAsia" w:hAnsiTheme="minorEastAsia"/>
        <w:noProof/>
        <w:sz w:val="16"/>
      </w:rPr>
      <mc:AlternateContent>
        <mc:Choice Requires="wps">
          <w:drawing>
            <wp:anchor distT="0" distB="0" distL="114300" distR="114300" simplePos="0" relativeHeight="251649536" behindDoc="0" locked="0" layoutInCell="1" allowOverlap="1" wp14:anchorId="05D0A555" wp14:editId="30637151">
              <wp:simplePos x="0" y="0"/>
              <wp:positionH relativeFrom="column">
                <wp:posOffset>975360</wp:posOffset>
              </wp:positionH>
              <wp:positionV relativeFrom="paragraph">
                <wp:posOffset>5086985</wp:posOffset>
              </wp:positionV>
              <wp:extent cx="5600700" cy="520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E17F" w14:textId="77777777" w:rsidR="00A71EAD" w:rsidRDefault="00A71EAD" w:rsidP="00344AC6">
                          <w:pPr>
                            <w:pStyle w:val="a3"/>
                            <w:rPr>
                              <w:sz w:val="18"/>
                              <w:szCs w:val="18"/>
                            </w:rPr>
                          </w:pPr>
                          <w:r w:rsidRPr="00324133">
                            <w:rPr>
                              <w:rFonts w:hint="eastAsia"/>
                              <w:sz w:val="18"/>
                              <w:szCs w:val="18"/>
                            </w:rPr>
                            <w:t>論文受理日：</w:t>
                          </w:r>
                          <w:r>
                            <w:rPr>
                              <w:rFonts w:hint="eastAsia"/>
                              <w:sz w:val="18"/>
                              <w:szCs w:val="18"/>
                            </w:rPr>
                            <w:t>平成２３年９月２３日</w:t>
                          </w:r>
                        </w:p>
                        <w:p w14:paraId="3A77BC93" w14:textId="77777777" w:rsidR="00A71EAD" w:rsidRPr="00324133" w:rsidRDefault="00A71EAD" w:rsidP="00344AC6">
                          <w:pPr>
                            <w:pStyle w:val="a3"/>
                            <w:tabs>
                              <w:tab w:val="clear" w:pos="4252"/>
                              <w:tab w:val="clear" w:pos="8504"/>
                              <w:tab w:val="left" w:pos="1031"/>
                            </w:tabs>
                            <w:rPr>
                              <w:sz w:val="18"/>
                              <w:szCs w:val="18"/>
                            </w:rPr>
                          </w:pPr>
                          <w:r>
                            <w:rPr>
                              <w:rFonts w:hint="eastAsia"/>
                              <w:sz w:val="18"/>
                              <w:szCs w:val="18"/>
                            </w:rPr>
                            <w:t>＊</w:t>
                          </w:r>
                          <w:r>
                            <w:rPr>
                              <w:rFonts w:hint="eastAsia"/>
                              <w:sz w:val="18"/>
                              <w:szCs w:val="18"/>
                            </w:rPr>
                            <w:t>1</w:t>
                          </w:r>
                          <w:r>
                            <w:rPr>
                              <w:sz w:val="18"/>
                              <w:szCs w:val="18"/>
                            </w:rPr>
                            <w:t xml:space="preserve"> KUZE Hitoshi</w:t>
                          </w:r>
                          <w:r>
                            <w:rPr>
                              <w:rFonts w:hint="eastAsia"/>
                              <w:sz w:val="18"/>
                              <w:szCs w:val="18"/>
                            </w:rPr>
                            <w:t xml:space="preserve">　＊</w:t>
                          </w:r>
                          <w:r>
                            <w:rPr>
                              <w:rFonts w:hint="eastAsia"/>
                              <w:sz w:val="18"/>
                              <w:szCs w:val="18"/>
                            </w:rPr>
                            <w:t>2</w:t>
                          </w:r>
                          <w:r>
                            <w:rPr>
                              <w:sz w:val="18"/>
                              <w:szCs w:val="18"/>
                            </w:rPr>
                            <w:t xml:space="preserve"> SAITO Yoko</w:t>
                          </w:r>
                          <w:r>
                            <w:rPr>
                              <w:rFonts w:hint="eastAsia"/>
                              <w:sz w:val="18"/>
                              <w:szCs w:val="18"/>
                            </w:rPr>
                            <w:t xml:space="preserve">　＊</w:t>
                          </w:r>
                          <w:r>
                            <w:rPr>
                              <w:rFonts w:hint="eastAsia"/>
                              <w:sz w:val="18"/>
                              <w:szCs w:val="18"/>
                            </w:rPr>
                            <w:t>7</w:t>
                          </w:r>
                          <w:r>
                            <w:rPr>
                              <w:rFonts w:hint="eastAsia"/>
                              <w:sz w:val="18"/>
                              <w:szCs w:val="18"/>
                            </w:rPr>
                            <w:t>：岐阜女子大学</w:t>
                          </w:r>
                        </w:p>
                        <w:p w14:paraId="1E8A1B69" w14:textId="77777777" w:rsidR="00A71EAD" w:rsidRDefault="00A71EAD" w:rsidP="00344A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D0A555" id="_x0000_t202" coordsize="21600,21600" o:spt="202" path="m0,0l0,21600,21600,21600,21600,0xe">
              <v:stroke joinstyle="miter"/>
              <v:path gradientshapeok="t" o:connecttype="rect"/>
            </v:shapetype>
            <v:shape id="テキスト ボックス 1" o:spid="_x0000_s1026" type="#_x0000_t202" style="position:absolute;left:0;text-align:left;margin-left:76.8pt;margin-top:400.55pt;width:441pt;height: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" filled="f" stroked="f">
              <v:textbox inset=",7.2pt,,7.2pt">
                <w:txbxContent>
                  <w:p w14:paraId="5A20E17F" w14:textId="77777777" w:rsidR="00A71EAD" w:rsidRDefault="00A71EAD" w:rsidP="00344AC6">
                    <w:pPr>
                      <w:pStyle w:val="a3"/>
                      <w:rPr>
                        <w:sz w:val="18"/>
                        <w:szCs w:val="18"/>
                      </w:rPr>
                    </w:pPr>
                    <w:r w:rsidRPr="00324133">
                      <w:rPr>
                        <w:rFonts w:hint="eastAsia"/>
                        <w:sz w:val="18"/>
                        <w:szCs w:val="18"/>
                      </w:rPr>
                      <w:t>論文受理日：</w:t>
                    </w:r>
                    <w:r>
                      <w:rPr>
                        <w:rFonts w:hint="eastAsia"/>
                        <w:sz w:val="18"/>
                        <w:szCs w:val="18"/>
                      </w:rPr>
                      <w:t>平成２３年９月２３日</w:t>
                    </w:r>
                  </w:p>
                  <w:p w14:paraId="3A77BC93" w14:textId="77777777" w:rsidR="00A71EAD" w:rsidRPr="00324133" w:rsidRDefault="00A71EAD" w:rsidP="00344AC6">
                    <w:pPr>
                      <w:pStyle w:val="a3"/>
                      <w:tabs>
                        <w:tab w:val="clear" w:pos="4252"/>
                        <w:tab w:val="clear" w:pos="8504"/>
                        <w:tab w:val="left" w:pos="1031"/>
                      </w:tabs>
                      <w:rPr>
                        <w:sz w:val="18"/>
                        <w:szCs w:val="18"/>
                      </w:rPr>
                    </w:pPr>
                    <w:r>
                      <w:rPr>
                        <w:rFonts w:hint="eastAsia"/>
                        <w:sz w:val="18"/>
                        <w:szCs w:val="18"/>
                      </w:rPr>
                      <w:t>＊</w:t>
                    </w:r>
                    <w:r>
                      <w:rPr>
                        <w:rFonts w:hint="eastAsia"/>
                        <w:sz w:val="18"/>
                        <w:szCs w:val="18"/>
                      </w:rPr>
                      <w:t>1</w:t>
                    </w:r>
                    <w:r>
                      <w:rPr>
                        <w:sz w:val="18"/>
                        <w:szCs w:val="18"/>
                      </w:rPr>
                      <w:t xml:space="preserve"> KUZE Hitoshi</w:t>
                    </w:r>
                    <w:r>
                      <w:rPr>
                        <w:rFonts w:hint="eastAsia"/>
                        <w:sz w:val="18"/>
                        <w:szCs w:val="18"/>
                      </w:rPr>
                      <w:t xml:space="preserve">　＊</w:t>
                    </w:r>
                    <w:r>
                      <w:rPr>
                        <w:rFonts w:hint="eastAsia"/>
                        <w:sz w:val="18"/>
                        <w:szCs w:val="18"/>
                      </w:rPr>
                      <w:t>2</w:t>
                    </w:r>
                    <w:r>
                      <w:rPr>
                        <w:sz w:val="18"/>
                        <w:szCs w:val="18"/>
                      </w:rPr>
                      <w:t xml:space="preserve"> SAITO Yoko</w:t>
                    </w:r>
                    <w:r>
                      <w:rPr>
                        <w:rFonts w:hint="eastAsia"/>
                        <w:sz w:val="18"/>
                        <w:szCs w:val="18"/>
                      </w:rPr>
                      <w:t xml:space="preserve">　＊</w:t>
                    </w:r>
                    <w:r>
                      <w:rPr>
                        <w:rFonts w:hint="eastAsia"/>
                        <w:sz w:val="18"/>
                        <w:szCs w:val="18"/>
                      </w:rPr>
                      <w:t>7</w:t>
                    </w:r>
                    <w:r>
                      <w:rPr>
                        <w:rFonts w:hint="eastAsia"/>
                        <w:sz w:val="18"/>
                        <w:szCs w:val="18"/>
                      </w:rPr>
                      <w:t>：岐阜女子大学</w:t>
                    </w:r>
                  </w:p>
                  <w:p w14:paraId="1E8A1B69" w14:textId="77777777" w:rsidR="00A71EAD" w:rsidRDefault="00A71EAD" w:rsidP="00344AC6"/>
                </w:txbxContent>
              </v:textbox>
            </v:shape>
          </w:pict>
        </mc:Fallback>
      </mc:AlternateContent>
    </w:r>
    <w:r w:rsidR="00CC1109">
      <w:rPr>
        <w:rFonts w:asciiTheme="minorEastAsia" w:eastAsiaTheme="minorEastAsia" w:hAnsiTheme="minorEastAsia" w:hint="eastAsia"/>
        <w:sz w:val="16"/>
      </w:rPr>
      <w:t xml:space="preserve">　※２　SAITO　Yoko　：</w:t>
    </w:r>
    <w:r w:rsidR="00CC1109" w:rsidRPr="003F4F77">
      <w:rPr>
        <w:rFonts w:asciiTheme="minorEastAsia" w:eastAsiaTheme="minorEastAsia" w:hAnsiTheme="minorEastAsia" w:hint="eastAsia"/>
        <w:sz w:val="16"/>
      </w:rPr>
      <w:t>岐阜女子大学</w:t>
    </w:r>
  </w:p>
  <w:p w14:paraId="35099495" w14:textId="77777777" w:rsidR="00A71EAD" w:rsidRDefault="00A71E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285F" w14:textId="77777777" w:rsidR="000D1225" w:rsidRDefault="000D1225">
      <w:r>
        <w:separator/>
      </w:r>
    </w:p>
  </w:footnote>
  <w:footnote w:type="continuationSeparator" w:id="0">
    <w:p w14:paraId="09497620" w14:textId="77777777" w:rsidR="000D1225" w:rsidRDefault="000D1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53B5A"/>
    <w:multiLevelType w:val="hybridMultilevel"/>
    <w:tmpl w:val="24681FA4"/>
    <w:lvl w:ilvl="0" w:tplc="38100A8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3E21C06"/>
    <w:multiLevelType w:val="hybridMultilevel"/>
    <w:tmpl w:val="92C875D4"/>
    <w:lvl w:ilvl="0" w:tplc="2484490C">
      <w:start w:val="1"/>
      <w:numFmt w:val="bullet"/>
      <w:lvlText w:val="○"/>
      <w:lvlJc w:val="left"/>
      <w:pPr>
        <w:ind w:left="420" w:hanging="420"/>
      </w:pPr>
      <w:rPr>
        <w:rFonts w:ascii="ＭＳ ゴシック" w:eastAsia="ＭＳ ゴシック" w:hAnsi="ＭＳ ゴシック" w:hint="eastAsia"/>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45C1C"/>
    <w:multiLevelType w:val="hybridMultilevel"/>
    <w:tmpl w:val="31726B8E"/>
    <w:lvl w:ilvl="0" w:tplc="7E8AF798">
      <w:start w:val="1"/>
      <w:numFmt w:val="decimalFullWidth"/>
      <w:lvlText w:val="（%1）"/>
      <w:lvlJc w:val="left"/>
      <w:pPr>
        <w:ind w:left="1572" w:hanging="720"/>
      </w:pPr>
      <w:rPr>
        <w:rFonts w:hint="eastAsia"/>
      </w:rPr>
    </w:lvl>
    <w:lvl w:ilvl="1" w:tplc="04090017" w:tentative="1">
      <w:start w:val="1"/>
      <w:numFmt w:val="aiueoFullWidth"/>
      <w:lvlText w:val="(%2)"/>
      <w:lvlJc w:val="left"/>
      <w:pPr>
        <w:ind w:left="1812" w:hanging="480"/>
      </w:pPr>
    </w:lvl>
    <w:lvl w:ilvl="2" w:tplc="04090011" w:tentative="1">
      <w:start w:val="1"/>
      <w:numFmt w:val="decimalEnclosedCircle"/>
      <w:lvlText w:val="%3"/>
      <w:lvlJc w:val="left"/>
      <w:pPr>
        <w:ind w:left="2292" w:hanging="480"/>
      </w:pPr>
    </w:lvl>
    <w:lvl w:ilvl="3" w:tplc="0409000F" w:tentative="1">
      <w:start w:val="1"/>
      <w:numFmt w:val="decimal"/>
      <w:lvlText w:val="%4."/>
      <w:lvlJc w:val="left"/>
      <w:pPr>
        <w:ind w:left="2772" w:hanging="480"/>
      </w:pPr>
    </w:lvl>
    <w:lvl w:ilvl="4" w:tplc="04090017" w:tentative="1">
      <w:start w:val="1"/>
      <w:numFmt w:val="aiueoFullWidth"/>
      <w:lvlText w:val="(%5)"/>
      <w:lvlJc w:val="left"/>
      <w:pPr>
        <w:ind w:left="3252" w:hanging="480"/>
      </w:pPr>
    </w:lvl>
    <w:lvl w:ilvl="5" w:tplc="04090011" w:tentative="1">
      <w:start w:val="1"/>
      <w:numFmt w:val="decimalEnclosedCircle"/>
      <w:lvlText w:val="%6"/>
      <w:lvlJc w:val="left"/>
      <w:pPr>
        <w:ind w:left="3732" w:hanging="480"/>
      </w:pPr>
    </w:lvl>
    <w:lvl w:ilvl="6" w:tplc="0409000F" w:tentative="1">
      <w:start w:val="1"/>
      <w:numFmt w:val="decimal"/>
      <w:lvlText w:val="%7."/>
      <w:lvlJc w:val="left"/>
      <w:pPr>
        <w:ind w:left="4212" w:hanging="480"/>
      </w:pPr>
    </w:lvl>
    <w:lvl w:ilvl="7" w:tplc="04090017" w:tentative="1">
      <w:start w:val="1"/>
      <w:numFmt w:val="aiueoFullWidth"/>
      <w:lvlText w:val="(%8)"/>
      <w:lvlJc w:val="left"/>
      <w:pPr>
        <w:ind w:left="4692" w:hanging="480"/>
      </w:pPr>
    </w:lvl>
    <w:lvl w:ilvl="8" w:tplc="04090011" w:tentative="1">
      <w:start w:val="1"/>
      <w:numFmt w:val="decimalEnclosedCircle"/>
      <w:lvlText w:val="%9"/>
      <w:lvlJc w:val="left"/>
      <w:pPr>
        <w:ind w:left="5172" w:hanging="480"/>
      </w:pPr>
    </w:lvl>
  </w:abstractNum>
  <w:abstractNum w:abstractNumId="4" w15:restartNumberingAfterBreak="0">
    <w:nsid w:val="0C1B2C46"/>
    <w:multiLevelType w:val="hybridMultilevel"/>
    <w:tmpl w:val="8D101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91D05"/>
    <w:multiLevelType w:val="hybridMultilevel"/>
    <w:tmpl w:val="A5CC118C"/>
    <w:lvl w:ilvl="0" w:tplc="D638C5B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33557AAA"/>
    <w:multiLevelType w:val="hybridMultilevel"/>
    <w:tmpl w:val="7652CA9C"/>
    <w:lvl w:ilvl="0" w:tplc="04090001">
      <w:start w:val="1"/>
      <w:numFmt w:val="bullet"/>
      <w:lvlText w:val=""/>
      <w:lvlJc w:val="left"/>
      <w:pPr>
        <w:ind w:left="420" w:hanging="420"/>
      </w:pPr>
      <w:rPr>
        <w:rFonts w:ascii="Wingdings" w:hAnsi="Wingdings" w:hint="default"/>
      </w:rPr>
    </w:lvl>
    <w:lvl w:ilvl="1" w:tplc="71461CB0">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A95BBE"/>
    <w:multiLevelType w:val="hybridMultilevel"/>
    <w:tmpl w:val="D7AC966A"/>
    <w:lvl w:ilvl="0" w:tplc="C9C04FD2">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D05CF7"/>
    <w:multiLevelType w:val="hybridMultilevel"/>
    <w:tmpl w:val="49BAB26A"/>
    <w:lvl w:ilvl="0" w:tplc="7B7483F8">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7CB7C8B"/>
    <w:multiLevelType w:val="hybridMultilevel"/>
    <w:tmpl w:val="8DF44E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BD0F14"/>
    <w:multiLevelType w:val="hybridMultilevel"/>
    <w:tmpl w:val="7FBCB968"/>
    <w:lvl w:ilvl="0" w:tplc="9EEAE1F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F03AFF"/>
    <w:multiLevelType w:val="hybridMultilevel"/>
    <w:tmpl w:val="0074B99E"/>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49A6767"/>
    <w:multiLevelType w:val="hybridMultilevel"/>
    <w:tmpl w:val="C8121610"/>
    <w:lvl w:ilvl="0" w:tplc="C66EFB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DA667B"/>
    <w:multiLevelType w:val="hybridMultilevel"/>
    <w:tmpl w:val="8EDE78AE"/>
    <w:lvl w:ilvl="0" w:tplc="E5EAE1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3A7660"/>
    <w:multiLevelType w:val="hybridMultilevel"/>
    <w:tmpl w:val="CA50F91A"/>
    <w:lvl w:ilvl="0" w:tplc="61AC954A">
      <w:start w:val="1"/>
      <w:numFmt w:val="upperLetter"/>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DF9532C"/>
    <w:multiLevelType w:val="hybridMultilevel"/>
    <w:tmpl w:val="2C181596"/>
    <w:lvl w:ilvl="0" w:tplc="71FEB12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70E97D38"/>
    <w:multiLevelType w:val="hybridMultilevel"/>
    <w:tmpl w:val="75129274"/>
    <w:lvl w:ilvl="0" w:tplc="03D8B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E24E56"/>
    <w:multiLevelType w:val="hybridMultilevel"/>
    <w:tmpl w:val="DE564ABE"/>
    <w:lvl w:ilvl="0" w:tplc="002AB768">
      <w:start w:val="1"/>
      <w:numFmt w:val="decimalFullWidth"/>
      <w:lvlText w:val="（%1）"/>
      <w:lvlJc w:val="left"/>
      <w:pPr>
        <w:tabs>
          <w:tab w:val="num" w:pos="720"/>
        </w:tabs>
        <w:ind w:left="720" w:hanging="720"/>
      </w:pPr>
      <w:rPr>
        <w:rFonts w:hint="default"/>
      </w:rPr>
    </w:lvl>
    <w:lvl w:ilvl="1" w:tplc="C9D0BF2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8"/>
  </w:num>
  <w:num w:numId="4">
    <w:abstractNumId w:val="10"/>
  </w:num>
  <w:num w:numId="5">
    <w:abstractNumId w:val="7"/>
  </w:num>
  <w:num w:numId="6">
    <w:abstractNumId w:val="12"/>
  </w:num>
  <w:num w:numId="7">
    <w:abstractNumId w:val="1"/>
  </w:num>
  <w:num w:numId="8">
    <w:abstractNumId w:val="5"/>
  </w:num>
  <w:num w:numId="9">
    <w:abstractNumId w:val="3"/>
  </w:num>
  <w:num w:numId="10">
    <w:abstractNumId w:val="0"/>
  </w:num>
  <w:num w:numId="11">
    <w:abstractNumId w:val="14"/>
  </w:num>
  <w:num w:numId="12">
    <w:abstractNumId w:val="6"/>
  </w:num>
  <w:num w:numId="13">
    <w:abstractNumId w:val="2"/>
  </w:num>
  <w:num w:numId="14">
    <w:abstractNumId w:val="4"/>
  </w:num>
  <w:num w:numId="15">
    <w:abstractNumId w:val="11"/>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54"/>
    <w:rsid w:val="00004A6B"/>
    <w:rsid w:val="00010AF2"/>
    <w:rsid w:val="00013868"/>
    <w:rsid w:val="000140AC"/>
    <w:rsid w:val="00014574"/>
    <w:rsid w:val="00015235"/>
    <w:rsid w:val="0001605B"/>
    <w:rsid w:val="0001638E"/>
    <w:rsid w:val="000240CD"/>
    <w:rsid w:val="0002482D"/>
    <w:rsid w:val="0003623E"/>
    <w:rsid w:val="00047679"/>
    <w:rsid w:val="000540FE"/>
    <w:rsid w:val="00055B11"/>
    <w:rsid w:val="00063C31"/>
    <w:rsid w:val="000650A4"/>
    <w:rsid w:val="0006611E"/>
    <w:rsid w:val="00080328"/>
    <w:rsid w:val="00082B32"/>
    <w:rsid w:val="00096200"/>
    <w:rsid w:val="000973FC"/>
    <w:rsid w:val="000A245F"/>
    <w:rsid w:val="000A61F8"/>
    <w:rsid w:val="000B2F74"/>
    <w:rsid w:val="000C05C9"/>
    <w:rsid w:val="000D1225"/>
    <w:rsid w:val="000D4486"/>
    <w:rsid w:val="000D55BE"/>
    <w:rsid w:val="000D75DF"/>
    <w:rsid w:val="000E6421"/>
    <w:rsid w:val="000F360C"/>
    <w:rsid w:val="000F5376"/>
    <w:rsid w:val="00103361"/>
    <w:rsid w:val="00107DC3"/>
    <w:rsid w:val="001108E5"/>
    <w:rsid w:val="0011090A"/>
    <w:rsid w:val="001119F9"/>
    <w:rsid w:val="00114A92"/>
    <w:rsid w:val="00117138"/>
    <w:rsid w:val="00123FC1"/>
    <w:rsid w:val="00124A83"/>
    <w:rsid w:val="00125A4D"/>
    <w:rsid w:val="00126177"/>
    <w:rsid w:val="00127693"/>
    <w:rsid w:val="00131335"/>
    <w:rsid w:val="001337AA"/>
    <w:rsid w:val="001354D3"/>
    <w:rsid w:val="00135594"/>
    <w:rsid w:val="00143ABF"/>
    <w:rsid w:val="00151563"/>
    <w:rsid w:val="00153B70"/>
    <w:rsid w:val="0015595C"/>
    <w:rsid w:val="00160F7E"/>
    <w:rsid w:val="001716D5"/>
    <w:rsid w:val="00171D7D"/>
    <w:rsid w:val="00175E90"/>
    <w:rsid w:val="001850ED"/>
    <w:rsid w:val="00185AD6"/>
    <w:rsid w:val="00187536"/>
    <w:rsid w:val="0019655A"/>
    <w:rsid w:val="0019774B"/>
    <w:rsid w:val="001A5E00"/>
    <w:rsid w:val="001B0317"/>
    <w:rsid w:val="001B0677"/>
    <w:rsid w:val="001C0067"/>
    <w:rsid w:val="001C0B7B"/>
    <w:rsid w:val="001C1246"/>
    <w:rsid w:val="001C17A2"/>
    <w:rsid w:val="001C2F41"/>
    <w:rsid w:val="001C3A4D"/>
    <w:rsid w:val="001C5338"/>
    <w:rsid w:val="001C5831"/>
    <w:rsid w:val="001D2320"/>
    <w:rsid w:val="001D3AF2"/>
    <w:rsid w:val="001E6AB9"/>
    <w:rsid w:val="001F0465"/>
    <w:rsid w:val="001F14D4"/>
    <w:rsid w:val="001F20C4"/>
    <w:rsid w:val="001F4FE6"/>
    <w:rsid w:val="001F79AC"/>
    <w:rsid w:val="00201784"/>
    <w:rsid w:val="00202429"/>
    <w:rsid w:val="00207680"/>
    <w:rsid w:val="002129AA"/>
    <w:rsid w:val="00226618"/>
    <w:rsid w:val="00234A7C"/>
    <w:rsid w:val="00236ACA"/>
    <w:rsid w:val="0024050F"/>
    <w:rsid w:val="00241362"/>
    <w:rsid w:val="00241D38"/>
    <w:rsid w:val="00245FC2"/>
    <w:rsid w:val="00247189"/>
    <w:rsid w:val="00253B24"/>
    <w:rsid w:val="002553AB"/>
    <w:rsid w:val="00256CE7"/>
    <w:rsid w:val="00262712"/>
    <w:rsid w:val="00265A94"/>
    <w:rsid w:val="00267C5A"/>
    <w:rsid w:val="002720D5"/>
    <w:rsid w:val="00272AF6"/>
    <w:rsid w:val="00273D63"/>
    <w:rsid w:val="00276F8D"/>
    <w:rsid w:val="00277C45"/>
    <w:rsid w:val="00285578"/>
    <w:rsid w:val="0029030B"/>
    <w:rsid w:val="002911B1"/>
    <w:rsid w:val="00293A80"/>
    <w:rsid w:val="0029732F"/>
    <w:rsid w:val="002A0303"/>
    <w:rsid w:val="002A2A42"/>
    <w:rsid w:val="002B259C"/>
    <w:rsid w:val="002B3DD1"/>
    <w:rsid w:val="002B4325"/>
    <w:rsid w:val="002B7FC7"/>
    <w:rsid w:val="002C7013"/>
    <w:rsid w:val="002C7E83"/>
    <w:rsid w:val="002D094B"/>
    <w:rsid w:val="002D1D42"/>
    <w:rsid w:val="002D7B70"/>
    <w:rsid w:val="002E0D02"/>
    <w:rsid w:val="002E28B2"/>
    <w:rsid w:val="002E4787"/>
    <w:rsid w:val="002E4848"/>
    <w:rsid w:val="002E7AB0"/>
    <w:rsid w:val="002F302D"/>
    <w:rsid w:val="002F33CD"/>
    <w:rsid w:val="002F4338"/>
    <w:rsid w:val="002F441F"/>
    <w:rsid w:val="002F7342"/>
    <w:rsid w:val="00301479"/>
    <w:rsid w:val="00302874"/>
    <w:rsid w:val="00305699"/>
    <w:rsid w:val="00313FB6"/>
    <w:rsid w:val="00315321"/>
    <w:rsid w:val="00316905"/>
    <w:rsid w:val="00316B87"/>
    <w:rsid w:val="003170BA"/>
    <w:rsid w:val="003178A5"/>
    <w:rsid w:val="00317AE6"/>
    <w:rsid w:val="0033048B"/>
    <w:rsid w:val="00332F9D"/>
    <w:rsid w:val="0033437A"/>
    <w:rsid w:val="003378EA"/>
    <w:rsid w:val="003425C0"/>
    <w:rsid w:val="00344AC6"/>
    <w:rsid w:val="0034551F"/>
    <w:rsid w:val="003458DC"/>
    <w:rsid w:val="003476DB"/>
    <w:rsid w:val="003511F2"/>
    <w:rsid w:val="00352410"/>
    <w:rsid w:val="00355ABD"/>
    <w:rsid w:val="00356442"/>
    <w:rsid w:val="00363DBD"/>
    <w:rsid w:val="00370ABF"/>
    <w:rsid w:val="003729BF"/>
    <w:rsid w:val="00373326"/>
    <w:rsid w:val="00374BA3"/>
    <w:rsid w:val="0038636C"/>
    <w:rsid w:val="00387F0F"/>
    <w:rsid w:val="00391AEF"/>
    <w:rsid w:val="00393E47"/>
    <w:rsid w:val="00395048"/>
    <w:rsid w:val="003A2CC6"/>
    <w:rsid w:val="003A3759"/>
    <w:rsid w:val="003A3B99"/>
    <w:rsid w:val="003A3EEC"/>
    <w:rsid w:val="003A504E"/>
    <w:rsid w:val="003A6278"/>
    <w:rsid w:val="003B0335"/>
    <w:rsid w:val="003B413E"/>
    <w:rsid w:val="003B4DCC"/>
    <w:rsid w:val="003C0DAE"/>
    <w:rsid w:val="003C3C20"/>
    <w:rsid w:val="003C467B"/>
    <w:rsid w:val="003C5D70"/>
    <w:rsid w:val="003C6B97"/>
    <w:rsid w:val="003D0A75"/>
    <w:rsid w:val="003D0CC0"/>
    <w:rsid w:val="003D5202"/>
    <w:rsid w:val="003D68CF"/>
    <w:rsid w:val="003E1D94"/>
    <w:rsid w:val="003F054F"/>
    <w:rsid w:val="003F1E34"/>
    <w:rsid w:val="003F4F77"/>
    <w:rsid w:val="003F57E9"/>
    <w:rsid w:val="00400C73"/>
    <w:rsid w:val="00402D2F"/>
    <w:rsid w:val="004038CC"/>
    <w:rsid w:val="004039D9"/>
    <w:rsid w:val="00410755"/>
    <w:rsid w:val="00412D0B"/>
    <w:rsid w:val="00413010"/>
    <w:rsid w:val="00414B4C"/>
    <w:rsid w:val="00415D47"/>
    <w:rsid w:val="00415DEA"/>
    <w:rsid w:val="0041627F"/>
    <w:rsid w:val="004204D2"/>
    <w:rsid w:val="00426CB6"/>
    <w:rsid w:val="00433077"/>
    <w:rsid w:val="0044101A"/>
    <w:rsid w:val="004424F4"/>
    <w:rsid w:val="0044394E"/>
    <w:rsid w:val="0044744D"/>
    <w:rsid w:val="00453FDC"/>
    <w:rsid w:val="00455980"/>
    <w:rsid w:val="004653B7"/>
    <w:rsid w:val="00466C16"/>
    <w:rsid w:val="00470ACB"/>
    <w:rsid w:val="00471092"/>
    <w:rsid w:val="00471504"/>
    <w:rsid w:val="004744F6"/>
    <w:rsid w:val="0047763B"/>
    <w:rsid w:val="00487D8A"/>
    <w:rsid w:val="00491703"/>
    <w:rsid w:val="00495C1C"/>
    <w:rsid w:val="004964BE"/>
    <w:rsid w:val="0049768D"/>
    <w:rsid w:val="0049782C"/>
    <w:rsid w:val="004B18C8"/>
    <w:rsid w:val="004B398F"/>
    <w:rsid w:val="004B3E5E"/>
    <w:rsid w:val="004B4B08"/>
    <w:rsid w:val="004B4DC2"/>
    <w:rsid w:val="004B5F70"/>
    <w:rsid w:val="004B6AEB"/>
    <w:rsid w:val="004C418A"/>
    <w:rsid w:val="004E0425"/>
    <w:rsid w:val="004E0819"/>
    <w:rsid w:val="004E2280"/>
    <w:rsid w:val="004F0010"/>
    <w:rsid w:val="00502AD9"/>
    <w:rsid w:val="005049E2"/>
    <w:rsid w:val="005054CB"/>
    <w:rsid w:val="00505E5F"/>
    <w:rsid w:val="00516471"/>
    <w:rsid w:val="00516FA2"/>
    <w:rsid w:val="00521CCB"/>
    <w:rsid w:val="00522830"/>
    <w:rsid w:val="00527046"/>
    <w:rsid w:val="00530EE1"/>
    <w:rsid w:val="00531507"/>
    <w:rsid w:val="0053477D"/>
    <w:rsid w:val="00535BA4"/>
    <w:rsid w:val="00536E4E"/>
    <w:rsid w:val="00541C11"/>
    <w:rsid w:val="005518D9"/>
    <w:rsid w:val="005553A8"/>
    <w:rsid w:val="00560C29"/>
    <w:rsid w:val="0056363E"/>
    <w:rsid w:val="005726D7"/>
    <w:rsid w:val="00575AB2"/>
    <w:rsid w:val="00583763"/>
    <w:rsid w:val="005902E6"/>
    <w:rsid w:val="00593B3E"/>
    <w:rsid w:val="005A1CFA"/>
    <w:rsid w:val="005B5AD8"/>
    <w:rsid w:val="005B7506"/>
    <w:rsid w:val="005C3371"/>
    <w:rsid w:val="005D0B6E"/>
    <w:rsid w:val="005D0FE3"/>
    <w:rsid w:val="005E0DA7"/>
    <w:rsid w:val="005E2C2B"/>
    <w:rsid w:val="005E3B4B"/>
    <w:rsid w:val="005F1B8C"/>
    <w:rsid w:val="005F49EE"/>
    <w:rsid w:val="00600B79"/>
    <w:rsid w:val="00605A77"/>
    <w:rsid w:val="0061045D"/>
    <w:rsid w:val="0062056D"/>
    <w:rsid w:val="0062104B"/>
    <w:rsid w:val="0062147F"/>
    <w:rsid w:val="00624845"/>
    <w:rsid w:val="0062741D"/>
    <w:rsid w:val="006319E3"/>
    <w:rsid w:val="006375B2"/>
    <w:rsid w:val="0063772F"/>
    <w:rsid w:val="00641582"/>
    <w:rsid w:val="00643166"/>
    <w:rsid w:val="00643A96"/>
    <w:rsid w:val="00652791"/>
    <w:rsid w:val="0065632F"/>
    <w:rsid w:val="00657276"/>
    <w:rsid w:val="00657720"/>
    <w:rsid w:val="0066524A"/>
    <w:rsid w:val="0067546B"/>
    <w:rsid w:val="006816D3"/>
    <w:rsid w:val="006835B5"/>
    <w:rsid w:val="00685BD4"/>
    <w:rsid w:val="006923BA"/>
    <w:rsid w:val="00695DBF"/>
    <w:rsid w:val="006B01D0"/>
    <w:rsid w:val="006B0A7A"/>
    <w:rsid w:val="006B1555"/>
    <w:rsid w:val="006B52DD"/>
    <w:rsid w:val="006C0105"/>
    <w:rsid w:val="006C1FA4"/>
    <w:rsid w:val="006C3E5E"/>
    <w:rsid w:val="006C40D6"/>
    <w:rsid w:val="006C778B"/>
    <w:rsid w:val="006D0727"/>
    <w:rsid w:val="006D2690"/>
    <w:rsid w:val="006D3034"/>
    <w:rsid w:val="006D49EB"/>
    <w:rsid w:val="006E28A0"/>
    <w:rsid w:val="006E2C91"/>
    <w:rsid w:val="006E648D"/>
    <w:rsid w:val="006E7A7D"/>
    <w:rsid w:val="007017B0"/>
    <w:rsid w:val="007048C8"/>
    <w:rsid w:val="00704AE9"/>
    <w:rsid w:val="00711847"/>
    <w:rsid w:val="00716200"/>
    <w:rsid w:val="00717FC1"/>
    <w:rsid w:val="00722D53"/>
    <w:rsid w:val="0072559E"/>
    <w:rsid w:val="00731746"/>
    <w:rsid w:val="0073223B"/>
    <w:rsid w:val="00756EEF"/>
    <w:rsid w:val="007576B3"/>
    <w:rsid w:val="00757868"/>
    <w:rsid w:val="00763476"/>
    <w:rsid w:val="007646D4"/>
    <w:rsid w:val="0077160E"/>
    <w:rsid w:val="007741DA"/>
    <w:rsid w:val="00775F71"/>
    <w:rsid w:val="00777B08"/>
    <w:rsid w:val="007863D4"/>
    <w:rsid w:val="00793FD2"/>
    <w:rsid w:val="007A1269"/>
    <w:rsid w:val="007A36F7"/>
    <w:rsid w:val="007B1C01"/>
    <w:rsid w:val="007B3209"/>
    <w:rsid w:val="007B592F"/>
    <w:rsid w:val="007C24C2"/>
    <w:rsid w:val="007D0EF1"/>
    <w:rsid w:val="007D380F"/>
    <w:rsid w:val="007D3AD0"/>
    <w:rsid w:val="007D3C84"/>
    <w:rsid w:val="007D413D"/>
    <w:rsid w:val="007D6077"/>
    <w:rsid w:val="007E06E6"/>
    <w:rsid w:val="007E4ADF"/>
    <w:rsid w:val="007E65B8"/>
    <w:rsid w:val="007E76E8"/>
    <w:rsid w:val="007F73D2"/>
    <w:rsid w:val="008032B2"/>
    <w:rsid w:val="008041B7"/>
    <w:rsid w:val="008063E5"/>
    <w:rsid w:val="00806EE7"/>
    <w:rsid w:val="008116BC"/>
    <w:rsid w:val="0081273C"/>
    <w:rsid w:val="00813530"/>
    <w:rsid w:val="00814499"/>
    <w:rsid w:val="00814AD1"/>
    <w:rsid w:val="00816F14"/>
    <w:rsid w:val="00820575"/>
    <w:rsid w:val="00820CDC"/>
    <w:rsid w:val="0082442A"/>
    <w:rsid w:val="008313CC"/>
    <w:rsid w:val="008350BB"/>
    <w:rsid w:val="0083782F"/>
    <w:rsid w:val="008410DB"/>
    <w:rsid w:val="00843680"/>
    <w:rsid w:val="00844088"/>
    <w:rsid w:val="008513EE"/>
    <w:rsid w:val="00852082"/>
    <w:rsid w:val="00853F69"/>
    <w:rsid w:val="00854477"/>
    <w:rsid w:val="00860F78"/>
    <w:rsid w:val="00864C8F"/>
    <w:rsid w:val="00865821"/>
    <w:rsid w:val="00871F8A"/>
    <w:rsid w:val="00872180"/>
    <w:rsid w:val="0088151B"/>
    <w:rsid w:val="00882A1B"/>
    <w:rsid w:val="00884FDB"/>
    <w:rsid w:val="00886394"/>
    <w:rsid w:val="00887236"/>
    <w:rsid w:val="0088761C"/>
    <w:rsid w:val="00890426"/>
    <w:rsid w:val="00892D90"/>
    <w:rsid w:val="008A0C57"/>
    <w:rsid w:val="008A1BCA"/>
    <w:rsid w:val="008A5191"/>
    <w:rsid w:val="008B097E"/>
    <w:rsid w:val="008B1D21"/>
    <w:rsid w:val="008C26A8"/>
    <w:rsid w:val="008D2843"/>
    <w:rsid w:val="008D4B43"/>
    <w:rsid w:val="008E41DD"/>
    <w:rsid w:val="008F0B06"/>
    <w:rsid w:val="008F18CD"/>
    <w:rsid w:val="008F29E8"/>
    <w:rsid w:val="008F2DD9"/>
    <w:rsid w:val="008F3F93"/>
    <w:rsid w:val="008F69BE"/>
    <w:rsid w:val="00900B1C"/>
    <w:rsid w:val="0090315A"/>
    <w:rsid w:val="00907C18"/>
    <w:rsid w:val="00907EEA"/>
    <w:rsid w:val="0091044F"/>
    <w:rsid w:val="00912A3F"/>
    <w:rsid w:val="00913E50"/>
    <w:rsid w:val="00915BAE"/>
    <w:rsid w:val="00927C1D"/>
    <w:rsid w:val="00932774"/>
    <w:rsid w:val="0094188A"/>
    <w:rsid w:val="00944BA2"/>
    <w:rsid w:val="00952821"/>
    <w:rsid w:val="009536C0"/>
    <w:rsid w:val="009571C9"/>
    <w:rsid w:val="00960943"/>
    <w:rsid w:val="00961289"/>
    <w:rsid w:val="00962EF7"/>
    <w:rsid w:val="00974314"/>
    <w:rsid w:val="0097683C"/>
    <w:rsid w:val="00980E47"/>
    <w:rsid w:val="00981F5F"/>
    <w:rsid w:val="009846FF"/>
    <w:rsid w:val="00990100"/>
    <w:rsid w:val="009932B5"/>
    <w:rsid w:val="009A18D5"/>
    <w:rsid w:val="009A40FD"/>
    <w:rsid w:val="009A4A27"/>
    <w:rsid w:val="009B4BDC"/>
    <w:rsid w:val="009B7384"/>
    <w:rsid w:val="009B7983"/>
    <w:rsid w:val="009C1FB3"/>
    <w:rsid w:val="009C4154"/>
    <w:rsid w:val="009C6075"/>
    <w:rsid w:val="009C700F"/>
    <w:rsid w:val="009D3461"/>
    <w:rsid w:val="009D439C"/>
    <w:rsid w:val="009D4EC4"/>
    <w:rsid w:val="009D5E42"/>
    <w:rsid w:val="009D5EB2"/>
    <w:rsid w:val="009E394D"/>
    <w:rsid w:val="009E56CC"/>
    <w:rsid w:val="009E66D6"/>
    <w:rsid w:val="009F0D6B"/>
    <w:rsid w:val="00A048AB"/>
    <w:rsid w:val="00A05F5B"/>
    <w:rsid w:val="00A07716"/>
    <w:rsid w:val="00A104D7"/>
    <w:rsid w:val="00A10ECC"/>
    <w:rsid w:val="00A1512E"/>
    <w:rsid w:val="00A24EDC"/>
    <w:rsid w:val="00A27746"/>
    <w:rsid w:val="00A3059E"/>
    <w:rsid w:val="00A32A20"/>
    <w:rsid w:val="00A36BFC"/>
    <w:rsid w:val="00A36EF0"/>
    <w:rsid w:val="00A468CD"/>
    <w:rsid w:val="00A51FB4"/>
    <w:rsid w:val="00A65BFB"/>
    <w:rsid w:val="00A671B4"/>
    <w:rsid w:val="00A71EAD"/>
    <w:rsid w:val="00A73080"/>
    <w:rsid w:val="00A77974"/>
    <w:rsid w:val="00A817EA"/>
    <w:rsid w:val="00A95672"/>
    <w:rsid w:val="00AA499A"/>
    <w:rsid w:val="00AA4A78"/>
    <w:rsid w:val="00AB0511"/>
    <w:rsid w:val="00AC20E7"/>
    <w:rsid w:val="00AC33F2"/>
    <w:rsid w:val="00AD13C3"/>
    <w:rsid w:val="00AD1E26"/>
    <w:rsid w:val="00AD2540"/>
    <w:rsid w:val="00AD62F0"/>
    <w:rsid w:val="00AE23AE"/>
    <w:rsid w:val="00AF7448"/>
    <w:rsid w:val="00B02474"/>
    <w:rsid w:val="00B0364F"/>
    <w:rsid w:val="00B06756"/>
    <w:rsid w:val="00B10269"/>
    <w:rsid w:val="00B13BC7"/>
    <w:rsid w:val="00B14A7E"/>
    <w:rsid w:val="00B15949"/>
    <w:rsid w:val="00B17E76"/>
    <w:rsid w:val="00B24CB3"/>
    <w:rsid w:val="00B33F24"/>
    <w:rsid w:val="00B37A7B"/>
    <w:rsid w:val="00B4181F"/>
    <w:rsid w:val="00B46B24"/>
    <w:rsid w:val="00B52DAE"/>
    <w:rsid w:val="00B56CC8"/>
    <w:rsid w:val="00B61F5F"/>
    <w:rsid w:val="00B67CC1"/>
    <w:rsid w:val="00B7434E"/>
    <w:rsid w:val="00B773E2"/>
    <w:rsid w:val="00B8060D"/>
    <w:rsid w:val="00B841A9"/>
    <w:rsid w:val="00B90C54"/>
    <w:rsid w:val="00B930B7"/>
    <w:rsid w:val="00B9603A"/>
    <w:rsid w:val="00B96228"/>
    <w:rsid w:val="00BA21D6"/>
    <w:rsid w:val="00BA71CE"/>
    <w:rsid w:val="00BB023D"/>
    <w:rsid w:val="00BB4996"/>
    <w:rsid w:val="00BC3A04"/>
    <w:rsid w:val="00BC4EB7"/>
    <w:rsid w:val="00BC615B"/>
    <w:rsid w:val="00BC6DD7"/>
    <w:rsid w:val="00BD209C"/>
    <w:rsid w:val="00BD3CB7"/>
    <w:rsid w:val="00BD58BB"/>
    <w:rsid w:val="00BD68D2"/>
    <w:rsid w:val="00BF160E"/>
    <w:rsid w:val="00BF35AB"/>
    <w:rsid w:val="00BF74B2"/>
    <w:rsid w:val="00C01CC6"/>
    <w:rsid w:val="00C0263E"/>
    <w:rsid w:val="00C10CC8"/>
    <w:rsid w:val="00C10CE1"/>
    <w:rsid w:val="00C12412"/>
    <w:rsid w:val="00C36401"/>
    <w:rsid w:val="00C40736"/>
    <w:rsid w:val="00C40E35"/>
    <w:rsid w:val="00C507A1"/>
    <w:rsid w:val="00C536EA"/>
    <w:rsid w:val="00C544FC"/>
    <w:rsid w:val="00C5570D"/>
    <w:rsid w:val="00C63828"/>
    <w:rsid w:val="00C6553B"/>
    <w:rsid w:val="00C71778"/>
    <w:rsid w:val="00C721E1"/>
    <w:rsid w:val="00C77270"/>
    <w:rsid w:val="00C774A8"/>
    <w:rsid w:val="00C77AD3"/>
    <w:rsid w:val="00C77AF2"/>
    <w:rsid w:val="00C821CB"/>
    <w:rsid w:val="00C8283D"/>
    <w:rsid w:val="00C85AE6"/>
    <w:rsid w:val="00C87BA1"/>
    <w:rsid w:val="00C912A9"/>
    <w:rsid w:val="00C974FE"/>
    <w:rsid w:val="00C97BB2"/>
    <w:rsid w:val="00CA017C"/>
    <w:rsid w:val="00CA2E3F"/>
    <w:rsid w:val="00CA75E3"/>
    <w:rsid w:val="00CA7680"/>
    <w:rsid w:val="00CA7BAF"/>
    <w:rsid w:val="00CB6983"/>
    <w:rsid w:val="00CB78E3"/>
    <w:rsid w:val="00CC00D7"/>
    <w:rsid w:val="00CC0510"/>
    <w:rsid w:val="00CC1109"/>
    <w:rsid w:val="00CD404A"/>
    <w:rsid w:val="00CD4797"/>
    <w:rsid w:val="00CD48ED"/>
    <w:rsid w:val="00CD527F"/>
    <w:rsid w:val="00CD535E"/>
    <w:rsid w:val="00CD560F"/>
    <w:rsid w:val="00CE16BB"/>
    <w:rsid w:val="00CE30C8"/>
    <w:rsid w:val="00CE5F9D"/>
    <w:rsid w:val="00CE6967"/>
    <w:rsid w:val="00D05E3F"/>
    <w:rsid w:val="00D07EE3"/>
    <w:rsid w:val="00D10873"/>
    <w:rsid w:val="00D117B3"/>
    <w:rsid w:val="00D2421B"/>
    <w:rsid w:val="00D24DC8"/>
    <w:rsid w:val="00D312CB"/>
    <w:rsid w:val="00D3439C"/>
    <w:rsid w:val="00D43527"/>
    <w:rsid w:val="00D44064"/>
    <w:rsid w:val="00D454DD"/>
    <w:rsid w:val="00D51D36"/>
    <w:rsid w:val="00D52C0B"/>
    <w:rsid w:val="00D530E6"/>
    <w:rsid w:val="00D533A4"/>
    <w:rsid w:val="00D5399B"/>
    <w:rsid w:val="00D620B3"/>
    <w:rsid w:val="00D66367"/>
    <w:rsid w:val="00D67F36"/>
    <w:rsid w:val="00D80DFE"/>
    <w:rsid w:val="00D8138B"/>
    <w:rsid w:val="00D83993"/>
    <w:rsid w:val="00D861F3"/>
    <w:rsid w:val="00D86621"/>
    <w:rsid w:val="00D86A0B"/>
    <w:rsid w:val="00D86ABB"/>
    <w:rsid w:val="00D86F06"/>
    <w:rsid w:val="00D91120"/>
    <w:rsid w:val="00D95140"/>
    <w:rsid w:val="00D956DC"/>
    <w:rsid w:val="00D96D50"/>
    <w:rsid w:val="00DA2233"/>
    <w:rsid w:val="00DA6EA5"/>
    <w:rsid w:val="00DC1249"/>
    <w:rsid w:val="00DC24E8"/>
    <w:rsid w:val="00DC39EF"/>
    <w:rsid w:val="00DC547D"/>
    <w:rsid w:val="00DC7F55"/>
    <w:rsid w:val="00DD30E7"/>
    <w:rsid w:val="00DD3545"/>
    <w:rsid w:val="00DD364D"/>
    <w:rsid w:val="00DD3761"/>
    <w:rsid w:val="00DE23E8"/>
    <w:rsid w:val="00DE2514"/>
    <w:rsid w:val="00DE30E3"/>
    <w:rsid w:val="00DE3631"/>
    <w:rsid w:val="00DE561C"/>
    <w:rsid w:val="00DE6318"/>
    <w:rsid w:val="00DE673E"/>
    <w:rsid w:val="00DF0719"/>
    <w:rsid w:val="00E015BC"/>
    <w:rsid w:val="00E059BD"/>
    <w:rsid w:val="00E132B2"/>
    <w:rsid w:val="00E23E5E"/>
    <w:rsid w:val="00E26AB5"/>
    <w:rsid w:val="00E31BB4"/>
    <w:rsid w:val="00E32BE9"/>
    <w:rsid w:val="00E34338"/>
    <w:rsid w:val="00E3594B"/>
    <w:rsid w:val="00E35BEC"/>
    <w:rsid w:val="00E42924"/>
    <w:rsid w:val="00E43031"/>
    <w:rsid w:val="00E437B1"/>
    <w:rsid w:val="00E5102F"/>
    <w:rsid w:val="00E524DB"/>
    <w:rsid w:val="00E54C0A"/>
    <w:rsid w:val="00E56593"/>
    <w:rsid w:val="00E60CEF"/>
    <w:rsid w:val="00E63A98"/>
    <w:rsid w:val="00E65A87"/>
    <w:rsid w:val="00E724E4"/>
    <w:rsid w:val="00E8586A"/>
    <w:rsid w:val="00E86013"/>
    <w:rsid w:val="00E95636"/>
    <w:rsid w:val="00E95CBE"/>
    <w:rsid w:val="00E96B2D"/>
    <w:rsid w:val="00E97413"/>
    <w:rsid w:val="00EA2485"/>
    <w:rsid w:val="00EA334D"/>
    <w:rsid w:val="00EB25B2"/>
    <w:rsid w:val="00EB26EC"/>
    <w:rsid w:val="00EB5B33"/>
    <w:rsid w:val="00EC13C3"/>
    <w:rsid w:val="00ED0D3C"/>
    <w:rsid w:val="00ED5563"/>
    <w:rsid w:val="00EE083A"/>
    <w:rsid w:val="00EE0FC0"/>
    <w:rsid w:val="00EE1F73"/>
    <w:rsid w:val="00EE7C76"/>
    <w:rsid w:val="00EF6FEA"/>
    <w:rsid w:val="00F036E1"/>
    <w:rsid w:val="00F04C08"/>
    <w:rsid w:val="00F07A41"/>
    <w:rsid w:val="00F131E0"/>
    <w:rsid w:val="00F134CB"/>
    <w:rsid w:val="00F230CB"/>
    <w:rsid w:val="00F244CD"/>
    <w:rsid w:val="00F249E6"/>
    <w:rsid w:val="00F24BB1"/>
    <w:rsid w:val="00F275B8"/>
    <w:rsid w:val="00F35772"/>
    <w:rsid w:val="00F40231"/>
    <w:rsid w:val="00F443DD"/>
    <w:rsid w:val="00F46033"/>
    <w:rsid w:val="00F504FA"/>
    <w:rsid w:val="00F51F93"/>
    <w:rsid w:val="00F56299"/>
    <w:rsid w:val="00F750EE"/>
    <w:rsid w:val="00F77CED"/>
    <w:rsid w:val="00F85175"/>
    <w:rsid w:val="00F86FDF"/>
    <w:rsid w:val="00F91633"/>
    <w:rsid w:val="00F93379"/>
    <w:rsid w:val="00F96897"/>
    <w:rsid w:val="00FA0554"/>
    <w:rsid w:val="00FA5EC8"/>
    <w:rsid w:val="00FA6DA5"/>
    <w:rsid w:val="00FA7308"/>
    <w:rsid w:val="00FB6250"/>
    <w:rsid w:val="00FC086F"/>
    <w:rsid w:val="00FC2749"/>
    <w:rsid w:val="00FD09CD"/>
    <w:rsid w:val="00FD1665"/>
    <w:rsid w:val="00FD4429"/>
    <w:rsid w:val="00FD62E1"/>
    <w:rsid w:val="00FE2021"/>
    <w:rsid w:val="00FF0478"/>
    <w:rsid w:val="00FF734E"/>
    <w:rsid w:val="00FF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8EF6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C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6EEF"/>
    <w:pPr>
      <w:tabs>
        <w:tab w:val="center" w:pos="4252"/>
        <w:tab w:val="right" w:pos="8504"/>
      </w:tabs>
      <w:snapToGrid w:val="0"/>
    </w:pPr>
  </w:style>
  <w:style w:type="character" w:styleId="a5">
    <w:name w:val="page number"/>
    <w:basedOn w:val="a0"/>
    <w:rsid w:val="00756EEF"/>
  </w:style>
  <w:style w:type="character" w:customStyle="1" w:styleId="9">
    <w:name w:val="強調太字9"/>
    <w:basedOn w:val="a0"/>
    <w:rsid w:val="00C87BA1"/>
    <w:rPr>
      <w:b/>
      <w:bCs/>
    </w:rPr>
  </w:style>
  <w:style w:type="paragraph" w:styleId="a6">
    <w:name w:val="header"/>
    <w:basedOn w:val="a"/>
    <w:rsid w:val="00505E5F"/>
    <w:pPr>
      <w:tabs>
        <w:tab w:val="center" w:pos="4252"/>
        <w:tab w:val="right" w:pos="8504"/>
      </w:tabs>
      <w:snapToGrid w:val="0"/>
    </w:pPr>
  </w:style>
  <w:style w:type="paragraph" w:styleId="a7">
    <w:name w:val="Balloon Text"/>
    <w:basedOn w:val="a"/>
    <w:link w:val="a8"/>
    <w:uiPriority w:val="99"/>
    <w:semiHidden/>
    <w:unhideWhenUsed/>
    <w:rsid w:val="00276F8D"/>
    <w:rPr>
      <w:rFonts w:ascii="Arial" w:eastAsia="ＭＳ ゴシック" w:hAnsi="Arial"/>
      <w:sz w:val="18"/>
      <w:szCs w:val="18"/>
    </w:rPr>
  </w:style>
  <w:style w:type="character" w:customStyle="1" w:styleId="a8">
    <w:name w:val="吹き出し (文字)"/>
    <w:basedOn w:val="a0"/>
    <w:link w:val="a7"/>
    <w:uiPriority w:val="99"/>
    <w:semiHidden/>
    <w:rsid w:val="00276F8D"/>
    <w:rPr>
      <w:rFonts w:ascii="Arial" w:eastAsia="ＭＳ ゴシック" w:hAnsi="Arial" w:cs="Times New Roman"/>
      <w:kern w:val="2"/>
      <w:sz w:val="18"/>
      <w:szCs w:val="18"/>
    </w:rPr>
  </w:style>
  <w:style w:type="character" w:customStyle="1" w:styleId="a4">
    <w:name w:val="フッター (文字)"/>
    <w:basedOn w:val="a0"/>
    <w:link w:val="a3"/>
    <w:uiPriority w:val="99"/>
    <w:rsid w:val="00344AC6"/>
    <w:rPr>
      <w:kern w:val="2"/>
      <w:sz w:val="21"/>
      <w:szCs w:val="24"/>
    </w:rPr>
  </w:style>
  <w:style w:type="paragraph" w:customStyle="1" w:styleId="Default">
    <w:name w:val="Default"/>
    <w:rsid w:val="00FA6DA5"/>
    <w:pPr>
      <w:widowControl w:val="0"/>
      <w:autoSpaceDE w:val="0"/>
      <w:autoSpaceDN w:val="0"/>
      <w:adjustRightInd w:val="0"/>
    </w:pPr>
    <w:rPr>
      <w:rFonts w:ascii="ＭＳ 明朝" w:hAnsi="ＭＳ 明朝" w:cs="ＭＳ 明朝"/>
      <w:color w:val="000000"/>
      <w:sz w:val="24"/>
      <w:szCs w:val="24"/>
    </w:rPr>
  </w:style>
  <w:style w:type="table" w:styleId="a9">
    <w:name w:val="Table Grid"/>
    <w:basedOn w:val="a1"/>
    <w:uiPriority w:val="59"/>
    <w:rsid w:val="00FA6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FA6D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a">
    <w:name w:val="List Paragraph"/>
    <w:basedOn w:val="a"/>
    <w:uiPriority w:val="34"/>
    <w:qFormat/>
    <w:rsid w:val="00C8283D"/>
    <w:pPr>
      <w:ind w:leftChars="400" w:left="960"/>
    </w:pPr>
  </w:style>
  <w:style w:type="paragraph" w:styleId="Web">
    <w:name w:val="Normal (Web)"/>
    <w:basedOn w:val="a"/>
    <w:uiPriority w:val="99"/>
    <w:semiHidden/>
    <w:unhideWhenUsed/>
    <w:rsid w:val="00245F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 Spacing"/>
    <w:uiPriority w:val="1"/>
    <w:qFormat/>
    <w:rsid w:val="006C1FA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853">
      <w:bodyDiv w:val="1"/>
      <w:marLeft w:val="0"/>
      <w:marRight w:val="0"/>
      <w:marTop w:val="0"/>
      <w:marBottom w:val="0"/>
      <w:divBdr>
        <w:top w:val="none" w:sz="0" w:space="0" w:color="auto"/>
        <w:left w:val="none" w:sz="0" w:space="0" w:color="auto"/>
        <w:bottom w:val="none" w:sz="0" w:space="0" w:color="auto"/>
        <w:right w:val="none" w:sz="0" w:space="0" w:color="auto"/>
      </w:divBdr>
    </w:div>
    <w:div w:id="143401612">
      <w:bodyDiv w:val="1"/>
      <w:marLeft w:val="0"/>
      <w:marRight w:val="0"/>
      <w:marTop w:val="0"/>
      <w:marBottom w:val="0"/>
      <w:divBdr>
        <w:top w:val="none" w:sz="0" w:space="0" w:color="auto"/>
        <w:left w:val="none" w:sz="0" w:space="0" w:color="auto"/>
        <w:bottom w:val="none" w:sz="0" w:space="0" w:color="auto"/>
        <w:right w:val="none" w:sz="0" w:space="0" w:color="auto"/>
      </w:divBdr>
    </w:div>
    <w:div w:id="215822848">
      <w:bodyDiv w:val="1"/>
      <w:marLeft w:val="0"/>
      <w:marRight w:val="0"/>
      <w:marTop w:val="0"/>
      <w:marBottom w:val="0"/>
      <w:divBdr>
        <w:top w:val="none" w:sz="0" w:space="0" w:color="auto"/>
        <w:left w:val="none" w:sz="0" w:space="0" w:color="auto"/>
        <w:bottom w:val="none" w:sz="0" w:space="0" w:color="auto"/>
        <w:right w:val="none" w:sz="0" w:space="0" w:color="auto"/>
      </w:divBdr>
      <w:divsChild>
        <w:div w:id="119229686">
          <w:marLeft w:val="0"/>
          <w:marRight w:val="0"/>
          <w:marTop w:val="0"/>
          <w:marBottom w:val="0"/>
          <w:divBdr>
            <w:top w:val="none" w:sz="0" w:space="0" w:color="auto"/>
            <w:left w:val="none" w:sz="0" w:space="0" w:color="auto"/>
            <w:bottom w:val="none" w:sz="0" w:space="0" w:color="auto"/>
            <w:right w:val="none" w:sz="0" w:space="0" w:color="auto"/>
          </w:divBdr>
          <w:divsChild>
            <w:div w:id="785540817">
              <w:marLeft w:val="0"/>
              <w:marRight w:val="0"/>
              <w:marTop w:val="0"/>
              <w:marBottom w:val="0"/>
              <w:divBdr>
                <w:top w:val="none" w:sz="0" w:space="0" w:color="auto"/>
                <w:left w:val="none" w:sz="0" w:space="0" w:color="auto"/>
                <w:bottom w:val="none" w:sz="0" w:space="0" w:color="auto"/>
                <w:right w:val="none" w:sz="0" w:space="0" w:color="auto"/>
              </w:divBdr>
              <w:divsChild>
                <w:div w:id="1712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5995">
      <w:bodyDiv w:val="1"/>
      <w:marLeft w:val="0"/>
      <w:marRight w:val="0"/>
      <w:marTop w:val="0"/>
      <w:marBottom w:val="0"/>
      <w:divBdr>
        <w:top w:val="none" w:sz="0" w:space="0" w:color="auto"/>
        <w:left w:val="none" w:sz="0" w:space="0" w:color="auto"/>
        <w:bottom w:val="none" w:sz="0" w:space="0" w:color="auto"/>
        <w:right w:val="none" w:sz="0" w:space="0" w:color="auto"/>
      </w:divBdr>
    </w:div>
    <w:div w:id="649869887">
      <w:bodyDiv w:val="1"/>
      <w:marLeft w:val="0"/>
      <w:marRight w:val="0"/>
      <w:marTop w:val="0"/>
      <w:marBottom w:val="0"/>
      <w:divBdr>
        <w:top w:val="none" w:sz="0" w:space="0" w:color="auto"/>
        <w:left w:val="none" w:sz="0" w:space="0" w:color="auto"/>
        <w:bottom w:val="none" w:sz="0" w:space="0" w:color="auto"/>
        <w:right w:val="none" w:sz="0" w:space="0" w:color="auto"/>
      </w:divBdr>
      <w:divsChild>
        <w:div w:id="1785927669">
          <w:marLeft w:val="0"/>
          <w:marRight w:val="0"/>
          <w:marTop w:val="0"/>
          <w:marBottom w:val="0"/>
          <w:divBdr>
            <w:top w:val="none" w:sz="0" w:space="0" w:color="auto"/>
            <w:left w:val="none" w:sz="0" w:space="0" w:color="auto"/>
            <w:bottom w:val="none" w:sz="0" w:space="0" w:color="auto"/>
            <w:right w:val="none" w:sz="0" w:space="0" w:color="auto"/>
          </w:divBdr>
          <w:divsChild>
            <w:div w:id="1694112819">
              <w:marLeft w:val="0"/>
              <w:marRight w:val="0"/>
              <w:marTop w:val="0"/>
              <w:marBottom w:val="0"/>
              <w:divBdr>
                <w:top w:val="none" w:sz="0" w:space="0" w:color="auto"/>
                <w:left w:val="none" w:sz="0" w:space="0" w:color="auto"/>
                <w:bottom w:val="none" w:sz="0" w:space="0" w:color="auto"/>
                <w:right w:val="none" w:sz="0" w:space="0" w:color="auto"/>
              </w:divBdr>
              <w:divsChild>
                <w:div w:id="9503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7009">
      <w:bodyDiv w:val="1"/>
      <w:marLeft w:val="0"/>
      <w:marRight w:val="0"/>
      <w:marTop w:val="0"/>
      <w:marBottom w:val="0"/>
      <w:divBdr>
        <w:top w:val="none" w:sz="0" w:space="0" w:color="auto"/>
        <w:left w:val="none" w:sz="0" w:space="0" w:color="auto"/>
        <w:bottom w:val="none" w:sz="0" w:space="0" w:color="auto"/>
        <w:right w:val="none" w:sz="0" w:space="0" w:color="auto"/>
      </w:divBdr>
    </w:div>
    <w:div w:id="943804141">
      <w:bodyDiv w:val="1"/>
      <w:marLeft w:val="0"/>
      <w:marRight w:val="0"/>
      <w:marTop w:val="0"/>
      <w:marBottom w:val="0"/>
      <w:divBdr>
        <w:top w:val="none" w:sz="0" w:space="0" w:color="auto"/>
        <w:left w:val="none" w:sz="0" w:space="0" w:color="auto"/>
        <w:bottom w:val="none" w:sz="0" w:space="0" w:color="auto"/>
        <w:right w:val="none" w:sz="0" w:space="0" w:color="auto"/>
      </w:divBdr>
      <w:divsChild>
        <w:div w:id="1216357610">
          <w:marLeft w:val="0"/>
          <w:marRight w:val="0"/>
          <w:marTop w:val="0"/>
          <w:marBottom w:val="0"/>
          <w:divBdr>
            <w:top w:val="none" w:sz="0" w:space="0" w:color="auto"/>
            <w:left w:val="none" w:sz="0" w:space="0" w:color="auto"/>
            <w:bottom w:val="none" w:sz="0" w:space="0" w:color="auto"/>
            <w:right w:val="none" w:sz="0" w:space="0" w:color="auto"/>
          </w:divBdr>
          <w:divsChild>
            <w:div w:id="496042977">
              <w:marLeft w:val="0"/>
              <w:marRight w:val="0"/>
              <w:marTop w:val="0"/>
              <w:marBottom w:val="0"/>
              <w:divBdr>
                <w:top w:val="none" w:sz="0" w:space="0" w:color="auto"/>
                <w:left w:val="none" w:sz="0" w:space="0" w:color="auto"/>
                <w:bottom w:val="none" w:sz="0" w:space="0" w:color="auto"/>
                <w:right w:val="none" w:sz="0" w:space="0" w:color="auto"/>
              </w:divBdr>
              <w:divsChild>
                <w:div w:id="73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3587">
      <w:bodyDiv w:val="1"/>
      <w:marLeft w:val="0"/>
      <w:marRight w:val="0"/>
      <w:marTop w:val="0"/>
      <w:marBottom w:val="0"/>
      <w:divBdr>
        <w:top w:val="none" w:sz="0" w:space="0" w:color="auto"/>
        <w:left w:val="none" w:sz="0" w:space="0" w:color="auto"/>
        <w:bottom w:val="none" w:sz="0" w:space="0" w:color="auto"/>
        <w:right w:val="none" w:sz="0" w:space="0" w:color="auto"/>
      </w:divBdr>
    </w:div>
    <w:div w:id="1816676112">
      <w:bodyDiv w:val="1"/>
      <w:marLeft w:val="0"/>
      <w:marRight w:val="0"/>
      <w:marTop w:val="0"/>
      <w:marBottom w:val="0"/>
      <w:divBdr>
        <w:top w:val="none" w:sz="0" w:space="0" w:color="auto"/>
        <w:left w:val="none" w:sz="0" w:space="0" w:color="auto"/>
        <w:bottom w:val="none" w:sz="0" w:space="0" w:color="auto"/>
        <w:right w:val="none" w:sz="0" w:space="0" w:color="auto"/>
      </w:divBdr>
      <w:divsChild>
        <w:div w:id="276958935">
          <w:marLeft w:val="0"/>
          <w:marRight w:val="0"/>
          <w:marTop w:val="0"/>
          <w:marBottom w:val="0"/>
          <w:divBdr>
            <w:top w:val="none" w:sz="0" w:space="0" w:color="auto"/>
            <w:left w:val="none" w:sz="0" w:space="0" w:color="auto"/>
            <w:bottom w:val="none" w:sz="0" w:space="0" w:color="auto"/>
            <w:right w:val="none" w:sz="0" w:space="0" w:color="auto"/>
          </w:divBdr>
          <w:divsChild>
            <w:div w:id="1575241103">
              <w:marLeft w:val="0"/>
              <w:marRight w:val="0"/>
              <w:marTop w:val="0"/>
              <w:marBottom w:val="0"/>
              <w:divBdr>
                <w:top w:val="none" w:sz="0" w:space="0" w:color="auto"/>
                <w:left w:val="none" w:sz="0" w:space="0" w:color="auto"/>
                <w:bottom w:val="none" w:sz="0" w:space="0" w:color="auto"/>
                <w:right w:val="none" w:sz="0" w:space="0" w:color="auto"/>
              </w:divBdr>
              <w:divsChild>
                <w:div w:id="3723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7CF2-95CB-4506-858E-B51A11C1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1390</Words>
  <Characters>7924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水野氏“おもしろ紙おもちゃ”教室の教員養成での教材開発・教育方法について</vt:lpstr>
    </vt:vector>
  </TitlesOfParts>
  <Company>岐阜女子大学</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水野氏“おもしろ紙おもちゃ”教室の教員養成での教材開発・教育方法について</dc:title>
  <dc:creator>hisada</dc:creator>
  <cp:lastModifiedBy>Hitoshi,KUZE</cp:lastModifiedBy>
  <cp:revision>5</cp:revision>
  <cp:lastPrinted>2017-02-03T02:29:00Z</cp:lastPrinted>
  <dcterms:created xsi:type="dcterms:W3CDTF">2017-02-18T05:04:00Z</dcterms:created>
  <dcterms:modified xsi:type="dcterms:W3CDTF">2017-02-20T05:55:00Z</dcterms:modified>
</cp:coreProperties>
</file>