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5369D" w14:textId="2FFE1B65" w:rsidR="00FA447B" w:rsidRPr="002D2B4B" w:rsidRDefault="00DE4D0F" w:rsidP="002D2B4B">
      <w:pPr>
        <w:spacing w:line="400" w:lineRule="exact"/>
        <w:jc w:val="center"/>
        <w:rPr>
          <w:rFonts w:ascii="メイリオ" w:eastAsia="メイリオ" w:hAnsi="メイリオ"/>
          <w:b/>
          <w:sz w:val="28"/>
        </w:rPr>
      </w:pPr>
      <w:r w:rsidRPr="00DE4D0F">
        <w:rPr>
          <w:rFonts w:ascii="メイリオ" w:eastAsia="メイリオ" w:hAnsi="メイリオ"/>
          <w:noProof/>
        </w:rPr>
        <w:drawing>
          <wp:anchor distT="0" distB="0" distL="114300" distR="114300" simplePos="0" relativeHeight="251658240" behindDoc="0" locked="0" layoutInCell="1" allowOverlap="1" wp14:anchorId="61721D85" wp14:editId="7DA310EE">
            <wp:simplePos x="0" y="0"/>
            <wp:positionH relativeFrom="column">
              <wp:posOffset>8178800</wp:posOffset>
            </wp:positionH>
            <wp:positionV relativeFrom="paragraph">
              <wp:posOffset>107950</wp:posOffset>
            </wp:positionV>
            <wp:extent cx="1390650" cy="1390650"/>
            <wp:effectExtent l="0" t="0" r="0" b="0"/>
            <wp:wrapNone/>
            <wp:docPr id="2" name="図 2" descr="C:\Users\admin\Desktop\qr20240712123145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qr202407121231456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47B" w:rsidRPr="007A4623">
        <w:rPr>
          <w:rFonts w:ascii="メイリオ" w:eastAsia="メイリオ" w:hAnsi="メイリオ" w:hint="eastAsia"/>
          <w:b/>
          <w:sz w:val="28"/>
        </w:rPr>
        <w:t>【大学教育推進会議】</w:t>
      </w:r>
      <w:r w:rsidR="00FA447B" w:rsidRPr="007A4623">
        <w:rPr>
          <w:rFonts w:ascii="メイリオ" w:eastAsia="メイリオ" w:hAnsi="メイリオ"/>
          <w:b/>
          <w:sz w:val="28"/>
        </w:rPr>
        <w:t>e-Learning推進部会</w:t>
      </w:r>
    </w:p>
    <w:p w14:paraId="24FE5BC1" w14:textId="35CFA84A" w:rsidR="009679E0" w:rsidRDefault="009679E0" w:rsidP="00E2104B">
      <w:pPr>
        <w:widowControl/>
        <w:jc w:val="left"/>
        <w:rPr>
          <w:rFonts w:ascii="メイリオ" w:eastAsia="メイリオ" w:hAnsi="メイリオ"/>
        </w:rPr>
      </w:pPr>
      <w:r w:rsidRPr="008E4236">
        <w:rPr>
          <w:rFonts w:ascii="メイリオ" w:eastAsia="メイリオ" w:hAnsi="メイリオ"/>
          <w:b/>
        </w:rPr>
        <w:t>e-Learning</w:t>
      </w:r>
      <w:r>
        <w:rPr>
          <w:rFonts w:ascii="メイリオ" w:eastAsia="メイリオ" w:hAnsi="メイリオ" w:hint="eastAsia"/>
          <w:b/>
        </w:rPr>
        <w:t>科目</w:t>
      </w:r>
      <w:r w:rsidR="00657BDC">
        <w:rPr>
          <w:rFonts w:ascii="メイリオ" w:eastAsia="メイリオ" w:hAnsi="メイリオ" w:hint="eastAsia"/>
          <w:b/>
        </w:rPr>
        <w:t>＿</w:t>
      </w:r>
      <w:r w:rsidR="000C09EF" w:rsidRPr="000C09EF">
        <w:rPr>
          <w:rFonts w:ascii="メイリオ" w:eastAsia="メイリオ" w:hAnsi="メイリオ" w:hint="eastAsia"/>
        </w:rPr>
        <w:t>初等教科教育法（音楽）</w:t>
      </w:r>
      <w:r w:rsidR="00873511">
        <w:rPr>
          <w:rFonts w:ascii="メイリオ" w:eastAsia="メイリオ" w:hAnsi="メイリオ" w:hint="eastAsia"/>
        </w:rPr>
        <w:t xml:space="preserve">　</w:t>
      </w:r>
    </w:p>
    <w:p w14:paraId="40CB86AE" w14:textId="6D2B44DF" w:rsidR="00875D5F" w:rsidRDefault="00875D5F" w:rsidP="00E2104B">
      <w:pPr>
        <w:widowControl/>
        <w:jc w:val="left"/>
        <w:rPr>
          <w:rFonts w:ascii="メイリオ" w:eastAsia="メイリオ" w:hAnsi="メイリオ"/>
        </w:rPr>
      </w:pPr>
    </w:p>
    <w:p w14:paraId="63DACD38" w14:textId="77777777" w:rsidR="00875D5F" w:rsidRPr="00002226" w:rsidRDefault="00875D5F" w:rsidP="00E2104B">
      <w:pPr>
        <w:widowControl/>
        <w:jc w:val="left"/>
        <w:rPr>
          <w:rFonts w:ascii="メイリオ" w:eastAsia="メイリオ" w:hAnsi="メイリオ"/>
          <w:color w:val="FF0000"/>
        </w:rPr>
      </w:pPr>
      <w:bookmarkStart w:id="0" w:name="_GoBack"/>
      <w:bookmarkEnd w:id="0"/>
    </w:p>
    <w:tbl>
      <w:tblPr>
        <w:tblStyle w:val="a3"/>
        <w:tblW w:w="0" w:type="auto"/>
        <w:tblLook w:val="04A0" w:firstRow="1" w:lastRow="0" w:firstColumn="1" w:lastColumn="0" w:noHBand="0" w:noVBand="1"/>
      </w:tblPr>
      <w:tblGrid>
        <w:gridCol w:w="846"/>
        <w:gridCol w:w="2693"/>
        <w:gridCol w:w="4394"/>
        <w:gridCol w:w="3828"/>
        <w:gridCol w:w="3627"/>
      </w:tblGrid>
      <w:tr w:rsidR="009679E0" w14:paraId="15798C1F" w14:textId="77777777" w:rsidTr="00E32008">
        <w:tc>
          <w:tcPr>
            <w:tcW w:w="846" w:type="dxa"/>
            <w:shd w:val="clear" w:color="auto" w:fill="auto"/>
          </w:tcPr>
          <w:p w14:paraId="4D12B256"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No</w:t>
            </w:r>
          </w:p>
        </w:tc>
        <w:tc>
          <w:tcPr>
            <w:tcW w:w="2693" w:type="dxa"/>
            <w:shd w:val="clear" w:color="auto" w:fill="auto"/>
          </w:tcPr>
          <w:p w14:paraId="6150620F"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テーマ</w:t>
            </w:r>
          </w:p>
        </w:tc>
        <w:tc>
          <w:tcPr>
            <w:tcW w:w="4394" w:type="dxa"/>
            <w:shd w:val="clear" w:color="auto" w:fill="auto"/>
          </w:tcPr>
          <w:p w14:paraId="63CECAF7"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学修到達目標</w:t>
            </w:r>
          </w:p>
        </w:tc>
        <w:tc>
          <w:tcPr>
            <w:tcW w:w="3828" w:type="dxa"/>
            <w:shd w:val="clear" w:color="auto" w:fill="auto"/>
          </w:tcPr>
          <w:p w14:paraId="0F4D46B1"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内　容</w:t>
            </w:r>
          </w:p>
        </w:tc>
        <w:tc>
          <w:tcPr>
            <w:tcW w:w="3627" w:type="dxa"/>
            <w:shd w:val="clear" w:color="auto" w:fill="auto"/>
          </w:tcPr>
          <w:p w14:paraId="229DA96D"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課題</w:t>
            </w:r>
          </w:p>
        </w:tc>
      </w:tr>
      <w:tr w:rsidR="009679E0" w14:paraId="15E6653D" w14:textId="77777777" w:rsidTr="00E32008">
        <w:tc>
          <w:tcPr>
            <w:tcW w:w="846" w:type="dxa"/>
            <w:shd w:val="clear" w:color="auto" w:fill="auto"/>
          </w:tcPr>
          <w:p w14:paraId="768DF793" w14:textId="77777777" w:rsidR="009679E0" w:rsidRPr="009679E0" w:rsidRDefault="009679E0" w:rsidP="009679E0">
            <w:pPr>
              <w:spacing w:line="400" w:lineRule="exact"/>
              <w:rPr>
                <w:rFonts w:ascii="メイリオ" w:eastAsia="メイリオ" w:hAnsi="メイリオ"/>
                <w:sz w:val="18"/>
              </w:rPr>
            </w:pPr>
            <w:r>
              <w:rPr>
                <w:rFonts w:ascii="メイリオ" w:eastAsia="メイリオ" w:hAnsi="メイリオ" w:hint="eastAsia"/>
                <w:sz w:val="18"/>
              </w:rPr>
              <w:t>第1講</w:t>
            </w:r>
          </w:p>
        </w:tc>
        <w:tc>
          <w:tcPr>
            <w:tcW w:w="2693" w:type="dxa"/>
            <w:shd w:val="clear" w:color="auto" w:fill="auto"/>
          </w:tcPr>
          <w:p w14:paraId="3F5FBCD6" w14:textId="2A007710" w:rsidR="00A37218"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sz w:val="18"/>
              </w:rPr>
              <w:t>21世紀に求められる学力と学習環境</w:t>
            </w:r>
          </w:p>
        </w:tc>
        <w:tc>
          <w:tcPr>
            <w:tcW w:w="4394" w:type="dxa"/>
            <w:shd w:val="clear" w:color="auto" w:fill="auto"/>
          </w:tcPr>
          <w:p w14:paraId="4BAD93FF"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21世紀に求められる学力について説明できる。</w:t>
            </w:r>
          </w:p>
          <w:p w14:paraId="56DC3016" w14:textId="5D136917" w:rsidR="00C51354"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（２）資質・能力を引き出す授業の条件を説明できる。</w:t>
            </w:r>
          </w:p>
        </w:tc>
        <w:tc>
          <w:tcPr>
            <w:tcW w:w="3828" w:type="dxa"/>
            <w:shd w:val="clear" w:color="auto" w:fill="auto"/>
          </w:tcPr>
          <w:p w14:paraId="3528A144"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（１）知識基盤社会で求められる力</w:t>
            </w:r>
          </w:p>
          <w:p w14:paraId="72BF8DD5"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w:t>
            </w:r>
            <w:r w:rsidRPr="000C09EF">
              <w:rPr>
                <w:rFonts w:ascii="メイリオ" w:eastAsia="メイリオ" w:hAnsi="メイリオ"/>
                <w:sz w:val="18"/>
              </w:rPr>
              <w:t>21世紀型学力を育成する授業への変革</w:t>
            </w:r>
          </w:p>
          <w:p w14:paraId="39B1264E"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（３）授業・教育課程のすがた</w:t>
            </w:r>
          </w:p>
          <w:p w14:paraId="5C1756FA"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（４）評価のすがた</w:t>
            </w:r>
          </w:p>
          <w:p w14:paraId="582DADBB" w14:textId="06708A18" w:rsidR="002A07D3" w:rsidRPr="00A37218"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（５）取り組み事例</w:t>
            </w:r>
          </w:p>
        </w:tc>
        <w:tc>
          <w:tcPr>
            <w:tcW w:w="3627" w:type="dxa"/>
            <w:shd w:val="clear" w:color="auto" w:fill="auto"/>
          </w:tcPr>
          <w:p w14:paraId="177E758A"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（１）知識習得モデルと知識創造モデルの違いを説明しなさい。</w:t>
            </w:r>
          </w:p>
          <w:p w14:paraId="696FE7B4"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（２）知識習得モデルから知識創造モデルへの授業改善について、具体例をあげて説明しなさい。</w:t>
            </w:r>
          </w:p>
          <w:p w14:paraId="6B6ED4CB" w14:textId="0518C38E" w:rsidR="00C979AD" w:rsidRPr="00C51354"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（３）変容的評価について、具体例をあげて説明しなさい。</w:t>
            </w:r>
          </w:p>
        </w:tc>
      </w:tr>
      <w:tr w:rsidR="00C51354" w14:paraId="16F110E4" w14:textId="77777777" w:rsidTr="00E32008">
        <w:tc>
          <w:tcPr>
            <w:tcW w:w="846" w:type="dxa"/>
            <w:shd w:val="clear" w:color="auto" w:fill="auto"/>
          </w:tcPr>
          <w:p w14:paraId="42C68171" w14:textId="77777777" w:rsidR="00C51354" w:rsidRPr="009679E0" w:rsidRDefault="00C51354" w:rsidP="00C51354">
            <w:pPr>
              <w:spacing w:line="400" w:lineRule="exact"/>
              <w:rPr>
                <w:rFonts w:ascii="メイリオ" w:eastAsia="メイリオ" w:hAnsi="メイリオ"/>
                <w:sz w:val="18"/>
              </w:rPr>
            </w:pPr>
            <w:r>
              <w:rPr>
                <w:rFonts w:ascii="メイリオ" w:eastAsia="メイリオ" w:hAnsi="メイリオ" w:hint="eastAsia"/>
                <w:sz w:val="18"/>
              </w:rPr>
              <w:t>第2講</w:t>
            </w:r>
          </w:p>
        </w:tc>
        <w:tc>
          <w:tcPr>
            <w:tcW w:w="2693" w:type="dxa"/>
            <w:shd w:val="clear" w:color="auto" w:fill="auto"/>
          </w:tcPr>
          <w:p w14:paraId="5460B34D" w14:textId="04521B54" w:rsidR="00C51354"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hint="eastAsia"/>
                <w:sz w:val="18"/>
              </w:rPr>
              <w:t>インストラクショナルデザイン</w:t>
            </w:r>
          </w:p>
        </w:tc>
        <w:tc>
          <w:tcPr>
            <w:tcW w:w="4394" w:type="dxa"/>
            <w:shd w:val="clear" w:color="auto" w:fill="auto"/>
          </w:tcPr>
          <w:p w14:paraId="014081D0"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（１）インストラクショナルデザインとは何か説明できる。</w:t>
            </w:r>
          </w:p>
          <w:p w14:paraId="1CCB765A" w14:textId="22C0A7A9" w:rsidR="00C51354"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w:t>
            </w:r>
            <w:r w:rsidRPr="000C09EF">
              <w:rPr>
                <w:rFonts w:ascii="メイリオ" w:eastAsia="メイリオ" w:hAnsi="メイリオ"/>
                <w:sz w:val="18"/>
              </w:rPr>
              <w:t>ADDIEモデルについて事例をあげて説明できる。</w:t>
            </w:r>
          </w:p>
        </w:tc>
        <w:tc>
          <w:tcPr>
            <w:tcW w:w="3828" w:type="dxa"/>
            <w:shd w:val="clear" w:color="auto" w:fill="auto"/>
          </w:tcPr>
          <w:p w14:paraId="1DF47740"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（１）インストラクショナルデザインとは</w:t>
            </w:r>
          </w:p>
          <w:p w14:paraId="468FA738"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（２）音楽科教材開発とインストラクショナルデザイン</w:t>
            </w:r>
          </w:p>
          <w:p w14:paraId="44882B51" w14:textId="100EE870" w:rsidR="002A07D3" w:rsidRPr="00B22DF7"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w:t>
            </w:r>
            <w:r w:rsidRPr="000C09EF">
              <w:rPr>
                <w:rFonts w:ascii="メイリオ" w:eastAsia="メイリオ" w:hAnsi="メイリオ"/>
                <w:sz w:val="18"/>
              </w:rPr>
              <w:t>ADDIEモデル（フレームワーク）の活用～授業改善と定着～</w:t>
            </w:r>
          </w:p>
        </w:tc>
        <w:tc>
          <w:tcPr>
            <w:tcW w:w="3627" w:type="dxa"/>
            <w:shd w:val="clear" w:color="auto" w:fill="auto"/>
          </w:tcPr>
          <w:p w14:paraId="36F2AD59" w14:textId="4BD544CC" w:rsidR="00C979AD" w:rsidRPr="009679E0" w:rsidRDefault="000C09EF" w:rsidP="00A37218">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ADDIEのプロセスを検討し，音楽の教材を作成しなさい。</w:t>
            </w:r>
          </w:p>
        </w:tc>
      </w:tr>
      <w:tr w:rsidR="00C51354" w14:paraId="1A05FD74" w14:textId="77777777" w:rsidTr="00E32008">
        <w:tc>
          <w:tcPr>
            <w:tcW w:w="846" w:type="dxa"/>
            <w:shd w:val="clear" w:color="auto" w:fill="auto"/>
          </w:tcPr>
          <w:p w14:paraId="3921C156" w14:textId="77777777" w:rsidR="00C51354" w:rsidRPr="009679E0" w:rsidRDefault="00C51354" w:rsidP="00C51354">
            <w:pPr>
              <w:spacing w:line="400" w:lineRule="exact"/>
              <w:rPr>
                <w:rFonts w:ascii="メイリオ" w:eastAsia="メイリオ" w:hAnsi="メイリオ"/>
                <w:sz w:val="18"/>
              </w:rPr>
            </w:pPr>
            <w:r>
              <w:rPr>
                <w:rFonts w:ascii="メイリオ" w:eastAsia="メイリオ" w:hAnsi="メイリオ" w:hint="eastAsia"/>
                <w:sz w:val="18"/>
              </w:rPr>
              <w:t>第３講</w:t>
            </w:r>
          </w:p>
        </w:tc>
        <w:tc>
          <w:tcPr>
            <w:tcW w:w="2693" w:type="dxa"/>
            <w:shd w:val="clear" w:color="auto" w:fill="auto"/>
          </w:tcPr>
          <w:p w14:paraId="5F02D728" w14:textId="742B1F06" w:rsidR="00C51354"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hint="eastAsia"/>
                <w:sz w:val="18"/>
              </w:rPr>
              <w:t>教育方法の歴史</w:t>
            </w:r>
            <w:r w:rsidRPr="000C09EF">
              <w:rPr>
                <w:rFonts w:ascii="メイリオ" w:eastAsia="メイリオ" w:hAnsi="メイリオ"/>
                <w:sz w:val="18"/>
              </w:rPr>
              <w:t xml:space="preserve"> ～教えと学びのパラダイムの交錯～</w:t>
            </w:r>
          </w:p>
        </w:tc>
        <w:tc>
          <w:tcPr>
            <w:tcW w:w="4394" w:type="dxa"/>
            <w:shd w:val="clear" w:color="auto" w:fill="auto"/>
          </w:tcPr>
          <w:p w14:paraId="30FBE0BC"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（１）教育方法の歴史をつかむ。</w:t>
            </w:r>
          </w:p>
          <w:p w14:paraId="49E94F52"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現行学習指導要領の転換が図られていることを理解し，説明することができる。</w:t>
            </w:r>
          </w:p>
          <w:p w14:paraId="0B050E59" w14:textId="1694D5C5" w:rsidR="00321E98"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（２）現在の学習指導要領において，重要視されている学習者の主体的に学ぶ態度（自律的な学び）について，具体例を示しながら説明できる。</w:t>
            </w:r>
          </w:p>
        </w:tc>
        <w:tc>
          <w:tcPr>
            <w:tcW w:w="3828" w:type="dxa"/>
            <w:shd w:val="clear" w:color="auto" w:fill="auto"/>
          </w:tcPr>
          <w:p w14:paraId="74723A29"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（１）教育方法の歴史</w:t>
            </w:r>
          </w:p>
          <w:p w14:paraId="5D2E1CA5"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・行動主義的学習観について</w:t>
            </w:r>
          </w:p>
          <w:p w14:paraId="4D0DD98E"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・認知主義的学習理論について</w:t>
            </w:r>
          </w:p>
          <w:p w14:paraId="276000D8"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・構成主義的学習理論について</w:t>
            </w:r>
          </w:p>
          <w:p w14:paraId="290D134C"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・社会構成主義的学習理論について</w:t>
            </w:r>
          </w:p>
          <w:p w14:paraId="5C0426A0" w14:textId="75AA0041" w:rsidR="00C979AD"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（２）これからの学びにおける，学習者の学びに向かう態度とは何か</w:t>
            </w:r>
          </w:p>
        </w:tc>
        <w:tc>
          <w:tcPr>
            <w:tcW w:w="3627" w:type="dxa"/>
            <w:shd w:val="clear" w:color="auto" w:fill="auto"/>
          </w:tcPr>
          <w:p w14:paraId="009DF4B2"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（１）教育方法の歴史としての，学習観の変遷を，学習者の具体的な姿を示し，述べなさい。</w:t>
            </w:r>
          </w:p>
          <w:p w14:paraId="264AAE1B" w14:textId="46C1038A" w:rsidR="002A07D3" w:rsidRPr="009679E0"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（２）現在の学習観において、重要視されている学習者の主体的に学ぶ態度（自律的な学び）について、具体例を示し、述べなさい。</w:t>
            </w:r>
          </w:p>
        </w:tc>
      </w:tr>
      <w:tr w:rsidR="00C51354" w14:paraId="17147D5C" w14:textId="77777777" w:rsidTr="00E32008">
        <w:tc>
          <w:tcPr>
            <w:tcW w:w="846" w:type="dxa"/>
          </w:tcPr>
          <w:p w14:paraId="72D91518" w14:textId="77777777" w:rsidR="00C51354" w:rsidRPr="009679E0" w:rsidRDefault="00C51354" w:rsidP="00C51354">
            <w:pPr>
              <w:spacing w:line="400" w:lineRule="exact"/>
              <w:rPr>
                <w:rFonts w:ascii="メイリオ" w:eastAsia="メイリオ" w:hAnsi="メイリオ"/>
                <w:sz w:val="18"/>
              </w:rPr>
            </w:pPr>
            <w:r>
              <w:rPr>
                <w:rFonts w:ascii="メイリオ" w:eastAsia="メイリオ" w:hAnsi="メイリオ" w:hint="eastAsia"/>
                <w:sz w:val="18"/>
              </w:rPr>
              <w:t>第４講</w:t>
            </w:r>
          </w:p>
        </w:tc>
        <w:tc>
          <w:tcPr>
            <w:tcW w:w="2693" w:type="dxa"/>
            <w:shd w:val="clear" w:color="auto" w:fill="auto"/>
          </w:tcPr>
          <w:p w14:paraId="0D0B1E47" w14:textId="2E4F7341" w:rsidR="00C51354" w:rsidRPr="009679E0" w:rsidRDefault="000C09EF" w:rsidP="00434A9B">
            <w:pPr>
              <w:spacing w:line="240" w:lineRule="exact"/>
              <w:rPr>
                <w:rFonts w:ascii="メイリオ" w:eastAsia="メイリオ" w:hAnsi="メイリオ"/>
                <w:sz w:val="18"/>
              </w:rPr>
            </w:pPr>
            <w:r w:rsidRPr="000C09EF">
              <w:rPr>
                <w:rFonts w:ascii="メイリオ" w:eastAsia="メイリオ" w:hAnsi="メイリオ" w:hint="eastAsia"/>
                <w:sz w:val="18"/>
              </w:rPr>
              <w:t>音楽科学習目標のデザイン</w:t>
            </w:r>
          </w:p>
        </w:tc>
        <w:tc>
          <w:tcPr>
            <w:tcW w:w="4394" w:type="dxa"/>
            <w:shd w:val="clear" w:color="auto" w:fill="auto"/>
          </w:tcPr>
          <w:p w14:paraId="55F32625"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（１）ブルームの教育⽬標分類について、行動目標による例を取り挙げて説明できる。</w:t>
            </w:r>
          </w:p>
          <w:p w14:paraId="6C0B2C16"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（２）ガニェの学習成果の５分類について、具体例を挙げて説明できる。</w:t>
            </w:r>
          </w:p>
          <w:p w14:paraId="7E953446" w14:textId="03A72F3F" w:rsidR="002028B9"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（３）明確な学習目標について、具体的に説明できる。</w:t>
            </w:r>
          </w:p>
        </w:tc>
        <w:tc>
          <w:tcPr>
            <w:tcW w:w="3828" w:type="dxa"/>
            <w:shd w:val="clear" w:color="auto" w:fill="auto"/>
          </w:tcPr>
          <w:p w14:paraId="00479727"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（１）学習目標の明確化</w:t>
            </w:r>
          </w:p>
          <w:p w14:paraId="557E59FB"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（２）学習目標の分類</w:t>
            </w:r>
          </w:p>
          <w:p w14:paraId="3D036142" w14:textId="6B4ECF78" w:rsidR="00C979AD" w:rsidRPr="00B22DF7"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（３）明確な学習目標を設定する</w:t>
            </w:r>
          </w:p>
        </w:tc>
        <w:tc>
          <w:tcPr>
            <w:tcW w:w="3627" w:type="dxa"/>
            <w:shd w:val="clear" w:color="auto" w:fill="auto"/>
          </w:tcPr>
          <w:p w14:paraId="3765A4DC"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（１）ブルームの教育目標分類について、行動目標による例を取り上げて説明しなさい。</w:t>
            </w:r>
          </w:p>
          <w:p w14:paraId="517267DC"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（２）ガニェの学習成果の</w:t>
            </w:r>
            <w:r w:rsidRPr="000C09EF">
              <w:rPr>
                <w:rFonts w:ascii="メイリオ" w:eastAsia="メイリオ" w:hAnsi="メイリオ"/>
                <w:sz w:val="18"/>
              </w:rPr>
              <w:t>5分類について、音楽教育の具体例を挙げて説明しなさい。</w:t>
            </w:r>
          </w:p>
          <w:p w14:paraId="2D0737E4"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（３）明確な学習目標について、音楽の具</w:t>
            </w:r>
            <w:r w:rsidRPr="000C09EF">
              <w:rPr>
                <w:rFonts w:ascii="メイリオ" w:eastAsia="メイリオ" w:hAnsi="メイリオ" w:hint="eastAsia"/>
                <w:sz w:val="18"/>
              </w:rPr>
              <w:lastRenderedPageBreak/>
              <w:t>体的な題材において設定しなさい。</w:t>
            </w:r>
          </w:p>
          <w:p w14:paraId="45B6F652" w14:textId="08F7FEEC" w:rsidR="00C51354" w:rsidRPr="009679E0"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（４）学年音楽の目標のタキソノミーテーブルを作成しなさい。</w:t>
            </w:r>
          </w:p>
        </w:tc>
      </w:tr>
      <w:tr w:rsidR="00C51354" w14:paraId="533277E8" w14:textId="77777777" w:rsidTr="00E32008">
        <w:tc>
          <w:tcPr>
            <w:tcW w:w="846" w:type="dxa"/>
          </w:tcPr>
          <w:p w14:paraId="0819F689" w14:textId="77777777" w:rsidR="00C51354" w:rsidRPr="009679E0" w:rsidRDefault="00C51354" w:rsidP="00C51354">
            <w:pPr>
              <w:spacing w:line="400" w:lineRule="exact"/>
              <w:rPr>
                <w:rFonts w:ascii="メイリオ" w:eastAsia="メイリオ" w:hAnsi="メイリオ"/>
                <w:sz w:val="18"/>
              </w:rPr>
            </w:pPr>
            <w:r>
              <w:rPr>
                <w:rFonts w:ascii="メイリオ" w:eastAsia="メイリオ" w:hAnsi="メイリオ" w:hint="eastAsia"/>
                <w:sz w:val="18"/>
              </w:rPr>
              <w:lastRenderedPageBreak/>
              <w:t>第５講</w:t>
            </w:r>
          </w:p>
        </w:tc>
        <w:tc>
          <w:tcPr>
            <w:tcW w:w="2693" w:type="dxa"/>
            <w:shd w:val="clear" w:color="auto" w:fill="auto"/>
          </w:tcPr>
          <w:p w14:paraId="67139D84" w14:textId="6A82D9B9" w:rsidR="00C51354" w:rsidRPr="009679E0" w:rsidRDefault="000C09EF" w:rsidP="00434A9B">
            <w:pPr>
              <w:spacing w:line="240" w:lineRule="exact"/>
              <w:rPr>
                <w:rFonts w:ascii="メイリオ" w:eastAsia="メイリオ" w:hAnsi="メイリオ"/>
                <w:sz w:val="18"/>
              </w:rPr>
            </w:pPr>
            <w:r w:rsidRPr="000C09EF">
              <w:rPr>
                <w:rFonts w:ascii="メイリオ" w:eastAsia="メイリオ" w:hAnsi="メイリオ" w:hint="eastAsia"/>
                <w:sz w:val="18"/>
              </w:rPr>
              <w:t>音楽科授業の分析と設計</w:t>
            </w:r>
          </w:p>
        </w:tc>
        <w:tc>
          <w:tcPr>
            <w:tcW w:w="4394" w:type="dxa"/>
            <w:shd w:val="clear" w:color="auto" w:fill="auto"/>
          </w:tcPr>
          <w:p w14:paraId="62C4E4AE"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（１）何を学ぶのか、そのための授業のあり方について説明できる。</w:t>
            </w:r>
          </w:p>
          <w:p w14:paraId="768EB02F" w14:textId="3685D043" w:rsidR="00C51354"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（２）システム的な授業設計・開発の手順を</w:t>
            </w:r>
            <w:r w:rsidRPr="000C09EF">
              <w:rPr>
                <w:rFonts w:ascii="メイリオ" w:eastAsia="メイリオ" w:hAnsi="メイリオ"/>
                <w:sz w:val="18"/>
              </w:rPr>
              <w:t>5つに分けて説明できる。</w:t>
            </w:r>
          </w:p>
        </w:tc>
        <w:tc>
          <w:tcPr>
            <w:tcW w:w="3828" w:type="dxa"/>
            <w:shd w:val="clear" w:color="auto" w:fill="auto"/>
          </w:tcPr>
          <w:p w14:paraId="283EDFFA"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（１）授業の目標分析</w:t>
            </w:r>
          </w:p>
          <w:p w14:paraId="0F234C52"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（２）教育目標の分類学</w:t>
            </w:r>
          </w:p>
          <w:p w14:paraId="583398BD"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（３）題材構成と教材の構造</w:t>
            </w:r>
          </w:p>
          <w:p w14:paraId="5B09F61B" w14:textId="4E777848" w:rsidR="002A07D3"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（４）授業の設計・開発の手順</w:t>
            </w:r>
          </w:p>
        </w:tc>
        <w:tc>
          <w:tcPr>
            <w:tcW w:w="3627" w:type="dxa"/>
            <w:shd w:val="clear" w:color="auto" w:fill="auto"/>
          </w:tcPr>
          <w:p w14:paraId="37930B46"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（１）自分が授業を行うとするならば、何を学ぶ授業とするのかを具体的に述べなさい。学ぶことを実現するために、どのような授業とするのか、その方針を述べなさい。</w:t>
            </w:r>
          </w:p>
          <w:p w14:paraId="28334D8A" w14:textId="1F243C6C" w:rsidR="00C979AD" w:rsidRPr="009679E0"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１）で述べた授業を基に、システム的な授業設計について、①何をしたいのか②何を学びたいか③何を指導したいか④どのような順序で学ぶのか⑤それを指導するために何がいるのか、の５つに分けて、具体例を示しなさい。</w:t>
            </w:r>
          </w:p>
        </w:tc>
      </w:tr>
      <w:tr w:rsidR="00C51354" w14:paraId="151A1DE0" w14:textId="77777777" w:rsidTr="00E32008">
        <w:tc>
          <w:tcPr>
            <w:tcW w:w="846" w:type="dxa"/>
          </w:tcPr>
          <w:p w14:paraId="522ED1C7" w14:textId="77777777" w:rsidR="00C51354" w:rsidRPr="009679E0" w:rsidRDefault="00C51354" w:rsidP="00C51354">
            <w:pPr>
              <w:spacing w:line="400" w:lineRule="exact"/>
              <w:rPr>
                <w:rFonts w:ascii="メイリオ" w:eastAsia="メイリオ" w:hAnsi="メイリオ"/>
                <w:sz w:val="18"/>
              </w:rPr>
            </w:pPr>
            <w:r>
              <w:rPr>
                <w:rFonts w:ascii="メイリオ" w:eastAsia="メイリオ" w:hAnsi="メイリオ" w:hint="eastAsia"/>
                <w:sz w:val="18"/>
              </w:rPr>
              <w:t>第６講</w:t>
            </w:r>
          </w:p>
        </w:tc>
        <w:tc>
          <w:tcPr>
            <w:tcW w:w="2693" w:type="dxa"/>
            <w:shd w:val="clear" w:color="auto" w:fill="auto"/>
          </w:tcPr>
          <w:p w14:paraId="6932989B" w14:textId="26B2B28F" w:rsidR="005F1C77" w:rsidRPr="009679E0" w:rsidRDefault="000C09EF" w:rsidP="004C533F">
            <w:pPr>
              <w:spacing w:line="240" w:lineRule="exact"/>
              <w:rPr>
                <w:rFonts w:ascii="メイリオ" w:eastAsia="メイリオ" w:hAnsi="メイリオ"/>
                <w:sz w:val="18"/>
              </w:rPr>
            </w:pPr>
            <w:r w:rsidRPr="000C09EF">
              <w:rPr>
                <w:rFonts w:ascii="メイリオ" w:eastAsia="メイリオ" w:hAnsi="メイリオ" w:hint="eastAsia"/>
                <w:sz w:val="18"/>
              </w:rPr>
              <w:t>子どもの学習意欲を高める音楽教育</w:t>
            </w:r>
          </w:p>
        </w:tc>
        <w:tc>
          <w:tcPr>
            <w:tcW w:w="4394" w:type="dxa"/>
            <w:shd w:val="clear" w:color="auto" w:fill="auto"/>
          </w:tcPr>
          <w:p w14:paraId="421E5835"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（１）学習意欲を高める音楽の指導法について説明できる。</w:t>
            </w:r>
          </w:p>
          <w:p w14:paraId="212ABC0D"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（２）インストラクショナルデザイン（</w:t>
            </w:r>
            <w:r w:rsidRPr="000C09EF">
              <w:rPr>
                <w:rFonts w:ascii="メイリオ" w:eastAsia="メイリオ" w:hAnsi="メイリオ"/>
                <w:sz w:val="18"/>
              </w:rPr>
              <w:t>ID）の一環、ジョン・Ｍ・ケラーの ARCS（アークス）モデルについて具体的に説明できる。</w:t>
            </w:r>
          </w:p>
          <w:p w14:paraId="55155FED" w14:textId="7F7D0D8B" w:rsidR="002028B9"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（３）アンドラゴジーをもとにして学校式教育から大人の学び支援について，その違いを具体的に説明できる。</w:t>
            </w:r>
          </w:p>
        </w:tc>
        <w:tc>
          <w:tcPr>
            <w:tcW w:w="3828" w:type="dxa"/>
            <w:shd w:val="clear" w:color="auto" w:fill="auto"/>
          </w:tcPr>
          <w:p w14:paraId="677BF414"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（１）動機づけを高める要因</w:t>
            </w:r>
          </w:p>
          <w:p w14:paraId="194F82CD"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w:t>
            </w:r>
            <w:r w:rsidRPr="000C09EF">
              <w:rPr>
                <w:rFonts w:ascii="メイリオ" w:eastAsia="メイリオ" w:hAnsi="メイリオ"/>
                <w:sz w:val="18"/>
              </w:rPr>
              <w:t>ARCSモデル</w:t>
            </w:r>
          </w:p>
          <w:p w14:paraId="1A59BCA7"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（３）アンドラゴジーとペダゴジー</w:t>
            </w:r>
          </w:p>
          <w:p w14:paraId="7FA725C3"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（４）学習意欲を高める音楽科学習指導法</w:t>
            </w:r>
          </w:p>
          <w:p w14:paraId="300DFD56" w14:textId="4A60948A" w:rsidR="002A07D3"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（５）学ぶ意欲を保ち続けるために</w:t>
            </w:r>
          </w:p>
        </w:tc>
        <w:tc>
          <w:tcPr>
            <w:tcW w:w="3627" w:type="dxa"/>
            <w:shd w:val="clear" w:color="auto" w:fill="auto"/>
          </w:tcPr>
          <w:p w14:paraId="52B158E5"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（１）アンドラゴジーをもとにして、学校式教育から大人の学び支援について、その違いを具体的に５つあげて、</w:t>
            </w:r>
            <w:r w:rsidRPr="000C09EF">
              <w:rPr>
                <w:rFonts w:ascii="メイリオ" w:eastAsia="メイリオ" w:hAnsi="メイリオ"/>
                <w:sz w:val="18"/>
              </w:rPr>
              <w:t>KJ 法を使ってグループごとに分類し、説明しなさい。</w:t>
            </w:r>
          </w:p>
          <w:p w14:paraId="23BC97D9" w14:textId="78AC2D11" w:rsidR="00C979AD"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（２）各グループで学習の動機づけの具体的な方法をあげて、ジョン・</w:t>
            </w:r>
            <w:r w:rsidRPr="000C09EF">
              <w:rPr>
                <w:rFonts w:ascii="メイリオ" w:eastAsia="メイリオ" w:hAnsi="メイリオ"/>
                <w:sz w:val="18"/>
              </w:rPr>
              <w:t>M・ケラーの ARCSモデルのどの分類にあたるか、説明しなさい。</w:t>
            </w:r>
          </w:p>
        </w:tc>
      </w:tr>
      <w:tr w:rsidR="00C51354" w14:paraId="3187F0D1" w14:textId="77777777" w:rsidTr="00E32008">
        <w:tc>
          <w:tcPr>
            <w:tcW w:w="846" w:type="dxa"/>
          </w:tcPr>
          <w:p w14:paraId="25F8DD23" w14:textId="77777777" w:rsidR="00C51354" w:rsidRPr="009679E0" w:rsidRDefault="00C51354" w:rsidP="00C51354">
            <w:pPr>
              <w:spacing w:line="400" w:lineRule="exact"/>
              <w:rPr>
                <w:rFonts w:ascii="メイリオ" w:eastAsia="メイリオ" w:hAnsi="メイリオ"/>
                <w:sz w:val="18"/>
              </w:rPr>
            </w:pPr>
            <w:r>
              <w:rPr>
                <w:rFonts w:ascii="メイリオ" w:eastAsia="メイリオ" w:hAnsi="メイリオ" w:hint="eastAsia"/>
                <w:sz w:val="18"/>
              </w:rPr>
              <w:t>第７講</w:t>
            </w:r>
          </w:p>
        </w:tc>
        <w:tc>
          <w:tcPr>
            <w:tcW w:w="2693" w:type="dxa"/>
            <w:shd w:val="clear" w:color="auto" w:fill="auto"/>
          </w:tcPr>
          <w:p w14:paraId="57485B7C" w14:textId="59A2D0E4" w:rsidR="00C51354" w:rsidRPr="009679E0" w:rsidRDefault="000C09EF" w:rsidP="006B07F4">
            <w:pPr>
              <w:spacing w:line="240" w:lineRule="exact"/>
              <w:rPr>
                <w:rFonts w:ascii="メイリオ" w:eastAsia="メイリオ" w:hAnsi="メイリオ"/>
                <w:sz w:val="18"/>
              </w:rPr>
            </w:pPr>
            <w:r w:rsidRPr="000C09EF">
              <w:rPr>
                <w:rFonts w:ascii="メイリオ" w:eastAsia="メイリオ" w:hAnsi="メイリオ" w:hint="eastAsia"/>
                <w:sz w:val="18"/>
              </w:rPr>
              <w:t>発達段階を踏まえた指導の充実</w:t>
            </w:r>
          </w:p>
        </w:tc>
        <w:tc>
          <w:tcPr>
            <w:tcW w:w="4394" w:type="dxa"/>
            <w:shd w:val="clear" w:color="auto" w:fill="auto"/>
          </w:tcPr>
          <w:p w14:paraId="57291F67"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（１）保幼小の連携、小中の学習指導要領の構成について、説明できる。</w:t>
            </w:r>
          </w:p>
          <w:p w14:paraId="0DEA80BD" w14:textId="5FA68D01" w:rsidR="002028B9"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（２）発達段階を踏まえた指導の充実（低・中・高学年）について、具体的な手だてを説明できる。</w:t>
            </w:r>
          </w:p>
        </w:tc>
        <w:tc>
          <w:tcPr>
            <w:tcW w:w="3828" w:type="dxa"/>
            <w:shd w:val="clear" w:color="auto" w:fill="auto"/>
          </w:tcPr>
          <w:p w14:paraId="476D6E96"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（１）保幼、中学校の音楽科学習の接続</w:t>
            </w:r>
          </w:p>
          <w:p w14:paraId="78597A38" w14:textId="4C3846A9" w:rsidR="00C979AD"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（２）発達段階を踏まえた音楽の感受を深める・表出する方法とその手だて</w:t>
            </w:r>
          </w:p>
        </w:tc>
        <w:tc>
          <w:tcPr>
            <w:tcW w:w="3627" w:type="dxa"/>
            <w:shd w:val="clear" w:color="auto" w:fill="auto"/>
          </w:tcPr>
          <w:p w14:paraId="5BEDF21C"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（１）音楽科の学習指導において、児童の発達段階を踏まえた指導の具体例を、教材（楽曲）例を用いて説明しなさい。</w:t>
            </w:r>
          </w:p>
          <w:p w14:paraId="1BB2B2F4" w14:textId="526DF94F" w:rsidR="00873511" w:rsidRPr="009679E0"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（２）育みたい資質・能力を焦点化した音楽科学習指導の、小中比較表を作成しなさい。</w:t>
            </w:r>
          </w:p>
        </w:tc>
      </w:tr>
      <w:tr w:rsidR="0074581B" w14:paraId="4C4CE342" w14:textId="77777777" w:rsidTr="00E32008">
        <w:tc>
          <w:tcPr>
            <w:tcW w:w="846" w:type="dxa"/>
          </w:tcPr>
          <w:p w14:paraId="2F8A8791" w14:textId="2C245AA9" w:rsidR="0074581B" w:rsidRDefault="0074581B" w:rsidP="00C51354">
            <w:pPr>
              <w:spacing w:line="400" w:lineRule="exact"/>
              <w:rPr>
                <w:rFonts w:ascii="メイリオ" w:eastAsia="メイリオ" w:hAnsi="メイリオ"/>
                <w:sz w:val="18"/>
              </w:rPr>
            </w:pPr>
            <w:r>
              <w:rPr>
                <w:rFonts w:ascii="メイリオ" w:eastAsia="メイリオ" w:hAnsi="メイリオ" w:hint="eastAsia"/>
                <w:sz w:val="18"/>
              </w:rPr>
              <w:t>第８講</w:t>
            </w:r>
          </w:p>
        </w:tc>
        <w:tc>
          <w:tcPr>
            <w:tcW w:w="2693" w:type="dxa"/>
            <w:shd w:val="clear" w:color="auto" w:fill="auto"/>
          </w:tcPr>
          <w:p w14:paraId="707FA3C8" w14:textId="3CC3B83D" w:rsidR="0074581B" w:rsidRDefault="000C09EF" w:rsidP="006B07F4">
            <w:pPr>
              <w:spacing w:line="240" w:lineRule="exact"/>
              <w:rPr>
                <w:rFonts w:ascii="メイリオ" w:eastAsia="メイリオ" w:hAnsi="メイリオ"/>
                <w:sz w:val="18"/>
              </w:rPr>
            </w:pPr>
            <w:r w:rsidRPr="000C09EF">
              <w:rPr>
                <w:rFonts w:ascii="メイリオ" w:eastAsia="メイリオ" w:hAnsi="メイリオ" w:hint="eastAsia"/>
                <w:sz w:val="18"/>
              </w:rPr>
              <w:t>「教えないで学べる」という新たな学び</w:t>
            </w:r>
          </w:p>
        </w:tc>
        <w:tc>
          <w:tcPr>
            <w:tcW w:w="4394" w:type="dxa"/>
            <w:shd w:val="clear" w:color="auto" w:fill="auto"/>
          </w:tcPr>
          <w:p w14:paraId="57318252"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（１）「教えないで学べる」とはどのようなことか具体例を挙げて説明できる。</w:t>
            </w:r>
          </w:p>
          <w:p w14:paraId="6BBB3540" w14:textId="216161FA" w:rsidR="0074581B" w:rsidRPr="006B07F4"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（２）「教えないで学べる」という新たな学びの設計ができる。</w:t>
            </w:r>
          </w:p>
        </w:tc>
        <w:tc>
          <w:tcPr>
            <w:tcW w:w="3828" w:type="dxa"/>
            <w:shd w:val="clear" w:color="auto" w:fill="auto"/>
          </w:tcPr>
          <w:p w14:paraId="2C693F9E"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J・Bキャロル（Carroll）の学校学習の時間モデル</w:t>
            </w:r>
          </w:p>
          <w:p w14:paraId="5CBA54CE"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（２）自分の人生設計ができる子どもを育てる「教えないで学べる」学習環境</w:t>
            </w:r>
          </w:p>
          <w:p w14:paraId="07F6D35C" w14:textId="73545CD1" w:rsidR="00C979AD" w:rsidRPr="006B07F4"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（３）学校教育の情報化</w:t>
            </w:r>
          </w:p>
        </w:tc>
        <w:tc>
          <w:tcPr>
            <w:tcW w:w="3627" w:type="dxa"/>
            <w:shd w:val="clear" w:color="auto" w:fill="auto"/>
          </w:tcPr>
          <w:p w14:paraId="07CE777C"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J・B・キャロル（Carroll）の学校学習の時間モデルについて説明しなさい。</w:t>
            </w:r>
          </w:p>
          <w:p w14:paraId="16CA91D6"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（２）「教えないで学べる」学習環境について具体的に説明しなさい。</w:t>
            </w:r>
          </w:p>
          <w:p w14:paraId="231734AF" w14:textId="744984A6" w:rsidR="0074581B" w:rsidRPr="006B07F4"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（３）必要な時間と労力をかけても学んでみたいと思えるキャロルのモデルに基づく個人差への対応例を挙げなさい。</w:t>
            </w:r>
          </w:p>
        </w:tc>
      </w:tr>
      <w:tr w:rsidR="00D17B28" w14:paraId="48FDE8FC" w14:textId="77777777" w:rsidTr="00E32008">
        <w:tc>
          <w:tcPr>
            <w:tcW w:w="846" w:type="dxa"/>
          </w:tcPr>
          <w:p w14:paraId="31F678D3" w14:textId="6CFDA6AC" w:rsidR="00D17B28" w:rsidRDefault="00D17B28" w:rsidP="00C51354">
            <w:pPr>
              <w:spacing w:line="400" w:lineRule="exact"/>
              <w:rPr>
                <w:rFonts w:ascii="メイリオ" w:eastAsia="メイリオ" w:hAnsi="メイリオ"/>
                <w:sz w:val="18"/>
              </w:rPr>
            </w:pPr>
            <w:r>
              <w:rPr>
                <w:rFonts w:ascii="メイリオ" w:eastAsia="メイリオ" w:hAnsi="メイリオ" w:hint="eastAsia"/>
                <w:sz w:val="18"/>
              </w:rPr>
              <w:lastRenderedPageBreak/>
              <w:t>第９講</w:t>
            </w:r>
          </w:p>
        </w:tc>
        <w:tc>
          <w:tcPr>
            <w:tcW w:w="2693" w:type="dxa"/>
            <w:shd w:val="clear" w:color="auto" w:fill="auto"/>
          </w:tcPr>
          <w:p w14:paraId="578609AC" w14:textId="44F5110F" w:rsidR="00D17B28" w:rsidRPr="0074581B" w:rsidRDefault="000C09EF" w:rsidP="006B07F4">
            <w:pPr>
              <w:spacing w:line="240" w:lineRule="exact"/>
              <w:rPr>
                <w:rFonts w:ascii="メイリオ" w:eastAsia="メイリオ" w:hAnsi="メイリオ"/>
                <w:sz w:val="18"/>
              </w:rPr>
            </w:pPr>
            <w:r w:rsidRPr="000C09EF">
              <w:rPr>
                <w:rFonts w:ascii="メイリオ" w:eastAsia="メイリオ" w:hAnsi="メイリオ" w:hint="eastAsia"/>
                <w:sz w:val="18"/>
              </w:rPr>
              <w:t>新たな学びとしての反転授業</w:t>
            </w:r>
          </w:p>
        </w:tc>
        <w:tc>
          <w:tcPr>
            <w:tcW w:w="4394" w:type="dxa"/>
            <w:shd w:val="clear" w:color="auto" w:fill="auto"/>
          </w:tcPr>
          <w:p w14:paraId="197F0E28"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（１）反転授業について、具体例な説明ができる。</w:t>
            </w:r>
          </w:p>
          <w:p w14:paraId="4C2DEF37" w14:textId="3A4EE53B" w:rsidR="00D17B28" w:rsidRPr="00D17B28"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（２）音楽教育における反転授業の授業設計ができる。</w:t>
            </w:r>
          </w:p>
        </w:tc>
        <w:tc>
          <w:tcPr>
            <w:tcW w:w="3828" w:type="dxa"/>
            <w:shd w:val="clear" w:color="auto" w:fill="auto"/>
          </w:tcPr>
          <w:p w14:paraId="0C8AA631"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（１）協働学習と互恵的教授法の考え方と学習効果</w:t>
            </w:r>
          </w:p>
          <w:p w14:paraId="3E166FE8"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（２）協働学習に影響を与える要因</w:t>
            </w:r>
          </w:p>
          <w:p w14:paraId="193EE1C2" w14:textId="7DCFE368" w:rsidR="002A07D3" w:rsidRPr="00D17B28"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（３）協働学習のデザインの手法と協働学習を支援する教材開発</w:t>
            </w:r>
          </w:p>
        </w:tc>
        <w:tc>
          <w:tcPr>
            <w:tcW w:w="3627" w:type="dxa"/>
            <w:shd w:val="clear" w:color="auto" w:fill="auto"/>
          </w:tcPr>
          <w:p w14:paraId="11DF342F"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（１）音楽教育における反転授業の学習展開について具体的に指導案を作成しなさい。</w:t>
            </w:r>
          </w:p>
          <w:p w14:paraId="1C677B9D" w14:textId="3AE1972A" w:rsidR="00C979AD" w:rsidRPr="00D17B28"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（２）音楽教育における反転授業とその効果と可能性について説明しなさい。</w:t>
            </w:r>
          </w:p>
        </w:tc>
      </w:tr>
      <w:tr w:rsidR="00C51354" w14:paraId="6012AEBC" w14:textId="77777777" w:rsidTr="00E32008">
        <w:tc>
          <w:tcPr>
            <w:tcW w:w="846" w:type="dxa"/>
          </w:tcPr>
          <w:p w14:paraId="472E41EA" w14:textId="2AC196D6" w:rsidR="00C51354" w:rsidRPr="009679E0" w:rsidRDefault="00D17B28" w:rsidP="00C51354">
            <w:pPr>
              <w:spacing w:line="400" w:lineRule="exact"/>
              <w:rPr>
                <w:rFonts w:ascii="メイリオ" w:eastAsia="メイリオ" w:hAnsi="メイリオ"/>
                <w:sz w:val="18"/>
              </w:rPr>
            </w:pPr>
            <w:r>
              <w:rPr>
                <w:rFonts w:ascii="メイリオ" w:eastAsia="メイリオ" w:hAnsi="メイリオ" w:hint="eastAsia"/>
                <w:sz w:val="18"/>
              </w:rPr>
              <w:t>第1</w:t>
            </w:r>
            <w:r>
              <w:rPr>
                <w:rFonts w:ascii="メイリオ" w:eastAsia="メイリオ" w:hAnsi="メイリオ"/>
                <w:sz w:val="18"/>
              </w:rPr>
              <w:t>0</w:t>
            </w:r>
            <w:r>
              <w:rPr>
                <w:rFonts w:ascii="メイリオ" w:eastAsia="メイリオ" w:hAnsi="メイリオ" w:hint="eastAsia"/>
                <w:sz w:val="18"/>
              </w:rPr>
              <w:t>講</w:t>
            </w:r>
          </w:p>
        </w:tc>
        <w:tc>
          <w:tcPr>
            <w:tcW w:w="2693" w:type="dxa"/>
            <w:shd w:val="clear" w:color="auto" w:fill="auto"/>
          </w:tcPr>
          <w:p w14:paraId="54A38C7E" w14:textId="31FA4AF6" w:rsidR="00C51354" w:rsidRPr="009679E0" w:rsidRDefault="000C09EF" w:rsidP="002A5E63">
            <w:pPr>
              <w:spacing w:line="240" w:lineRule="exact"/>
              <w:rPr>
                <w:rFonts w:ascii="メイリオ" w:eastAsia="メイリオ" w:hAnsi="メイリオ"/>
                <w:sz w:val="18"/>
              </w:rPr>
            </w:pPr>
            <w:r w:rsidRPr="000C09EF">
              <w:rPr>
                <w:rFonts w:ascii="メイリオ" w:eastAsia="メイリオ" w:hAnsi="メイリオ" w:hint="eastAsia"/>
                <w:sz w:val="18"/>
              </w:rPr>
              <w:t>協働的な学びの</w:t>
            </w:r>
            <w:r w:rsidRPr="000C09EF">
              <w:rPr>
                <w:rFonts w:ascii="メイリオ" w:eastAsia="メイリオ" w:hAnsi="メイリオ"/>
                <w:sz w:val="18"/>
              </w:rPr>
              <w:t>ICTデザイン</w:t>
            </w:r>
          </w:p>
        </w:tc>
        <w:tc>
          <w:tcPr>
            <w:tcW w:w="4394" w:type="dxa"/>
            <w:shd w:val="clear" w:color="auto" w:fill="auto"/>
          </w:tcPr>
          <w:p w14:paraId="7ECB912F"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（１）協働的な学びにおける</w:t>
            </w:r>
            <w:r w:rsidRPr="000C09EF">
              <w:rPr>
                <w:rFonts w:ascii="メイリオ" w:eastAsia="メイリオ" w:hAnsi="メイリオ"/>
                <w:sz w:val="18"/>
              </w:rPr>
              <w:t>ICT活用のメリットを説明できる。</w:t>
            </w:r>
          </w:p>
          <w:p w14:paraId="2151997D" w14:textId="628DA445" w:rsidR="002028B9"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（２）協働学習の考え方を理解し、実際に授業デザインできる。</w:t>
            </w:r>
          </w:p>
        </w:tc>
        <w:tc>
          <w:tcPr>
            <w:tcW w:w="3828" w:type="dxa"/>
            <w:shd w:val="clear" w:color="auto" w:fill="auto"/>
          </w:tcPr>
          <w:p w14:paraId="59175A10"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（１）協働学習と互恵的教授法の考え方と学習効果</w:t>
            </w:r>
          </w:p>
          <w:p w14:paraId="6FE6F625"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（２）協働学習に影響を与える要因</w:t>
            </w:r>
          </w:p>
          <w:p w14:paraId="527A1079" w14:textId="0A7DDD95" w:rsidR="00C979AD" w:rsidRPr="00B22DF7"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（３）協働学習のデザインの手法と協働学習を支援する教材開発</w:t>
            </w:r>
          </w:p>
        </w:tc>
        <w:tc>
          <w:tcPr>
            <w:tcW w:w="3627" w:type="dxa"/>
            <w:shd w:val="clear" w:color="auto" w:fill="auto"/>
          </w:tcPr>
          <w:p w14:paraId="2FD6D769" w14:textId="6ACFDB90" w:rsidR="00C51354" w:rsidRPr="009679E0" w:rsidRDefault="000C09EF" w:rsidP="00C979AD">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（１）協働的な学びにおける</w:t>
            </w:r>
            <w:r w:rsidRPr="000C09EF">
              <w:rPr>
                <w:rFonts w:ascii="メイリオ" w:eastAsia="メイリオ" w:hAnsi="メイリオ"/>
                <w:sz w:val="18"/>
              </w:rPr>
              <w:t>ICT活用について、学習活動と方法を、具体例を挙げて説明しなさい。</w:t>
            </w:r>
          </w:p>
        </w:tc>
      </w:tr>
      <w:tr w:rsidR="00B14837" w14:paraId="2CEB5660" w14:textId="77777777" w:rsidTr="00E32008">
        <w:tc>
          <w:tcPr>
            <w:tcW w:w="846" w:type="dxa"/>
          </w:tcPr>
          <w:p w14:paraId="0EE1C0CB" w14:textId="295B93D4" w:rsidR="00B14837" w:rsidRDefault="00B14837" w:rsidP="00B14837">
            <w:pPr>
              <w:spacing w:line="400" w:lineRule="exact"/>
              <w:rPr>
                <w:rFonts w:ascii="メイリオ" w:eastAsia="メイリオ" w:hAnsi="メイリオ"/>
                <w:sz w:val="18"/>
              </w:rPr>
            </w:pPr>
            <w:r>
              <w:rPr>
                <w:rFonts w:ascii="メイリオ" w:eastAsia="メイリオ" w:hAnsi="メイリオ" w:hint="eastAsia"/>
                <w:sz w:val="18"/>
              </w:rPr>
              <w:t>第11講</w:t>
            </w:r>
          </w:p>
        </w:tc>
        <w:tc>
          <w:tcPr>
            <w:tcW w:w="2693" w:type="dxa"/>
            <w:shd w:val="clear" w:color="auto" w:fill="auto"/>
          </w:tcPr>
          <w:p w14:paraId="05ADD27D" w14:textId="2F7A8553" w:rsidR="00B14837" w:rsidRPr="00C72665" w:rsidRDefault="000C09EF" w:rsidP="00B14837">
            <w:pPr>
              <w:spacing w:line="240" w:lineRule="exact"/>
              <w:rPr>
                <w:rFonts w:ascii="メイリオ" w:eastAsia="メイリオ" w:hAnsi="メイリオ"/>
                <w:sz w:val="18"/>
              </w:rPr>
            </w:pPr>
            <w:r w:rsidRPr="000C09EF">
              <w:rPr>
                <w:rFonts w:ascii="メイリオ" w:eastAsia="メイリオ" w:hAnsi="メイリオ" w:hint="eastAsia"/>
                <w:sz w:val="18"/>
              </w:rPr>
              <w:t>学びの個別最適化をめざす音楽教育</w:t>
            </w:r>
          </w:p>
        </w:tc>
        <w:tc>
          <w:tcPr>
            <w:tcW w:w="4394" w:type="dxa"/>
            <w:shd w:val="clear" w:color="auto" w:fill="auto"/>
          </w:tcPr>
          <w:p w14:paraId="2CDB5C26"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（１）一人一人の子どもの音楽技能や興味・関心によって、追究方法や内容を選ぶ授業づくりができる。</w:t>
            </w:r>
          </w:p>
          <w:p w14:paraId="7870B55C" w14:textId="766ADDA4" w:rsidR="00B14837" w:rsidRPr="00C72665"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（２）協働的な学びをいかした学びの個別最適化を授業設計できる。</w:t>
            </w:r>
          </w:p>
        </w:tc>
        <w:tc>
          <w:tcPr>
            <w:tcW w:w="3828" w:type="dxa"/>
            <w:shd w:val="clear" w:color="auto" w:fill="auto"/>
          </w:tcPr>
          <w:p w14:paraId="51183954"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（１）指導の個別化と学習の個性化</w:t>
            </w:r>
          </w:p>
          <w:p w14:paraId="295C1A0B"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（２）学びの個別最適化</w:t>
            </w:r>
          </w:p>
          <w:p w14:paraId="16EA9438" w14:textId="4D5FD942" w:rsidR="00C979AD" w:rsidRPr="00C72665"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（３）個別最適な学びと協働的な学びの一体的な充実</w:t>
            </w:r>
          </w:p>
        </w:tc>
        <w:tc>
          <w:tcPr>
            <w:tcW w:w="3627" w:type="dxa"/>
            <w:shd w:val="clear" w:color="auto" w:fill="auto"/>
          </w:tcPr>
          <w:p w14:paraId="0A7EE589"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（１）学びの個別最適化に対応する音楽科学習の授業設計例を、フローチャートで示しなさい。</w:t>
            </w:r>
          </w:p>
          <w:p w14:paraId="4044DD52" w14:textId="41387649" w:rsidR="00B14837"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（２）協働的な学びをいかした学びの個別最適化に対応する授業設計を、（１）に続けてフローチャートで示しなさい。</w:t>
            </w:r>
          </w:p>
        </w:tc>
      </w:tr>
      <w:tr w:rsidR="00B14837" w14:paraId="25E1A129" w14:textId="77777777" w:rsidTr="00E32008">
        <w:tc>
          <w:tcPr>
            <w:tcW w:w="846" w:type="dxa"/>
          </w:tcPr>
          <w:p w14:paraId="3F43707E" w14:textId="3B83EFB2" w:rsidR="00B14837" w:rsidRDefault="00B14837" w:rsidP="00B14837">
            <w:pPr>
              <w:spacing w:line="400" w:lineRule="exact"/>
              <w:rPr>
                <w:rFonts w:ascii="メイリオ" w:eastAsia="メイリオ" w:hAnsi="メイリオ"/>
                <w:sz w:val="18"/>
              </w:rPr>
            </w:pPr>
            <w:r>
              <w:rPr>
                <w:rFonts w:ascii="メイリオ" w:eastAsia="メイリオ" w:hAnsi="メイリオ" w:hint="eastAsia"/>
                <w:sz w:val="18"/>
              </w:rPr>
              <w:t>第12講</w:t>
            </w:r>
          </w:p>
        </w:tc>
        <w:tc>
          <w:tcPr>
            <w:tcW w:w="2693" w:type="dxa"/>
            <w:shd w:val="clear" w:color="auto" w:fill="auto"/>
          </w:tcPr>
          <w:p w14:paraId="193F5A02" w14:textId="3F4B41B6" w:rsidR="00B14837" w:rsidRPr="00C72665" w:rsidRDefault="000C09EF" w:rsidP="00B14837">
            <w:pPr>
              <w:spacing w:line="240" w:lineRule="exact"/>
              <w:rPr>
                <w:rFonts w:ascii="メイリオ" w:eastAsia="メイリオ" w:hAnsi="メイリオ"/>
                <w:sz w:val="18"/>
              </w:rPr>
            </w:pPr>
            <w:r w:rsidRPr="000C09EF">
              <w:rPr>
                <w:rFonts w:ascii="メイリオ" w:eastAsia="メイリオ" w:hAnsi="メイリオ" w:hint="eastAsia"/>
                <w:sz w:val="18"/>
              </w:rPr>
              <w:t>カリキュラム・マネジメントと音楽科学習指導</w:t>
            </w:r>
          </w:p>
        </w:tc>
        <w:tc>
          <w:tcPr>
            <w:tcW w:w="4394" w:type="dxa"/>
            <w:shd w:val="clear" w:color="auto" w:fill="auto"/>
          </w:tcPr>
          <w:p w14:paraId="67CB9EEF"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（１）音楽科におけるカリキュラム・マネジメントの充実について、説明できる。</w:t>
            </w:r>
          </w:p>
          <w:p w14:paraId="099D2A11" w14:textId="77777777" w:rsidR="000C09EF" w:rsidRPr="000C09EF" w:rsidRDefault="000C09EF" w:rsidP="000C09EF">
            <w:pPr>
              <w:spacing w:line="240" w:lineRule="exact"/>
              <w:ind w:left="180" w:hangingChars="100" w:hanging="180"/>
              <w:rPr>
                <w:rFonts w:ascii="メイリオ" w:eastAsia="メイリオ" w:hAnsi="メイリオ"/>
                <w:sz w:val="18"/>
              </w:rPr>
            </w:pPr>
          </w:p>
          <w:p w14:paraId="2E6CB61A" w14:textId="6D638F96" w:rsidR="00B14837" w:rsidRPr="00C72665"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（２）教科目標と評価のかかわりの視点から、コンピテンシーを育む授業づくりの工夫・改善について説明できる。</w:t>
            </w:r>
          </w:p>
        </w:tc>
        <w:tc>
          <w:tcPr>
            <w:tcW w:w="3828" w:type="dxa"/>
            <w:shd w:val="clear" w:color="auto" w:fill="auto"/>
          </w:tcPr>
          <w:p w14:paraId="7B94A5A8"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（１）資質・能力を育むカリキュラム・マネジメント</w:t>
            </w:r>
          </w:p>
          <w:p w14:paraId="10A4080F"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（２）教科目標と</w:t>
            </w:r>
            <w:r w:rsidRPr="000C09EF">
              <w:rPr>
                <w:rFonts w:ascii="メイリオ" w:eastAsia="メイリオ" w:hAnsi="メイリオ"/>
                <w:sz w:val="18"/>
              </w:rPr>
              <w:t>21世紀型学力</w:t>
            </w:r>
          </w:p>
          <w:p w14:paraId="1B92BFD7" w14:textId="7FD5DBD2" w:rsidR="00B14837" w:rsidRPr="00C72665"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（３）補充的・発展的な学習への対応</w:t>
            </w:r>
          </w:p>
        </w:tc>
        <w:tc>
          <w:tcPr>
            <w:tcW w:w="3627" w:type="dxa"/>
            <w:shd w:val="clear" w:color="auto" w:fill="auto"/>
          </w:tcPr>
          <w:p w14:paraId="67D65E04" w14:textId="64EA1DC6" w:rsidR="00C979AD" w:rsidRDefault="00DE4D0F" w:rsidP="00C979AD">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（１）教科目標と</w:t>
            </w:r>
            <w:r w:rsidRPr="00DE4D0F">
              <w:rPr>
                <w:rFonts w:ascii="メイリオ" w:eastAsia="メイリオ" w:hAnsi="メイリオ"/>
                <w:sz w:val="18"/>
              </w:rPr>
              <w:t>21世紀型学力を関連して説明しなさい。</w:t>
            </w:r>
          </w:p>
        </w:tc>
      </w:tr>
      <w:tr w:rsidR="00B14837" w14:paraId="5943736E" w14:textId="77777777" w:rsidTr="00E32008">
        <w:tc>
          <w:tcPr>
            <w:tcW w:w="846" w:type="dxa"/>
          </w:tcPr>
          <w:p w14:paraId="259FB660" w14:textId="3926F8FF" w:rsidR="00B14837" w:rsidRDefault="00B14837" w:rsidP="00B14837">
            <w:pPr>
              <w:spacing w:line="400" w:lineRule="exact"/>
              <w:rPr>
                <w:rFonts w:ascii="メイリオ" w:eastAsia="メイリオ" w:hAnsi="メイリオ"/>
                <w:sz w:val="18"/>
              </w:rPr>
            </w:pPr>
            <w:r>
              <w:rPr>
                <w:rFonts w:ascii="メイリオ" w:eastAsia="メイリオ" w:hAnsi="メイリオ" w:hint="eastAsia"/>
                <w:sz w:val="18"/>
              </w:rPr>
              <w:t>第1</w:t>
            </w:r>
            <w:r>
              <w:rPr>
                <w:rFonts w:ascii="メイリオ" w:eastAsia="メイリオ" w:hAnsi="メイリオ"/>
                <w:sz w:val="18"/>
              </w:rPr>
              <w:t>3</w:t>
            </w:r>
            <w:r>
              <w:rPr>
                <w:rFonts w:ascii="メイリオ" w:eastAsia="メイリオ" w:hAnsi="メイリオ" w:hint="eastAsia"/>
                <w:sz w:val="18"/>
              </w:rPr>
              <w:t>講</w:t>
            </w:r>
          </w:p>
        </w:tc>
        <w:tc>
          <w:tcPr>
            <w:tcW w:w="2693" w:type="dxa"/>
            <w:shd w:val="clear" w:color="auto" w:fill="auto"/>
          </w:tcPr>
          <w:p w14:paraId="7B2434A6" w14:textId="38DD0CE5" w:rsidR="00B14837" w:rsidRPr="00C72665" w:rsidRDefault="00DE4D0F" w:rsidP="00B14837">
            <w:pPr>
              <w:spacing w:line="240" w:lineRule="exact"/>
              <w:rPr>
                <w:rFonts w:ascii="メイリオ" w:eastAsia="メイリオ" w:hAnsi="メイリオ"/>
                <w:sz w:val="18"/>
              </w:rPr>
            </w:pPr>
            <w:r w:rsidRPr="00DE4D0F">
              <w:rPr>
                <w:rFonts w:ascii="メイリオ" w:eastAsia="メイリオ" w:hAnsi="メイリオ" w:hint="eastAsia"/>
                <w:sz w:val="18"/>
              </w:rPr>
              <w:t>コンピテンシーを育成するデジタルアーカイブの構築</w:t>
            </w:r>
          </w:p>
        </w:tc>
        <w:tc>
          <w:tcPr>
            <w:tcW w:w="4394" w:type="dxa"/>
            <w:shd w:val="clear" w:color="auto" w:fill="auto"/>
          </w:tcPr>
          <w:p w14:paraId="1F8A1CBB"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（１）音楽科におけるデジタルアーカイブの利点を説明できる。</w:t>
            </w:r>
          </w:p>
          <w:p w14:paraId="3704B1DA" w14:textId="107CF6DF" w:rsidR="00B14837"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（２）音楽科デジタルアーカイブを構想できる。</w:t>
            </w:r>
          </w:p>
        </w:tc>
        <w:tc>
          <w:tcPr>
            <w:tcW w:w="3828" w:type="dxa"/>
            <w:shd w:val="clear" w:color="auto" w:fill="auto"/>
          </w:tcPr>
          <w:p w14:paraId="2E9E3A1A"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（１）コンピテンシーを育む音楽科デジタルアーカイブの構築</w:t>
            </w:r>
          </w:p>
          <w:p w14:paraId="0727B2CB"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（２）学びを可視化するスタディー・ログや学習データ（音源、</w:t>
            </w:r>
            <w:r w:rsidRPr="00DE4D0F">
              <w:rPr>
                <w:rFonts w:ascii="メイリオ" w:eastAsia="メイリオ" w:hAnsi="メイリオ"/>
                <w:sz w:val="18"/>
              </w:rPr>
              <w:t>MIDIデータ、動画、レポートなど）の整理と工夫</w:t>
            </w:r>
          </w:p>
          <w:p w14:paraId="1902C3D4"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（３）補充的・発展的な学習への対応とデジタルアーカイブ</w:t>
            </w:r>
          </w:p>
          <w:p w14:paraId="4A27C140" w14:textId="1A1F6AB1" w:rsidR="00C979AD"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（４）音楽科教育研究とデジタルアーカイブ</w:t>
            </w:r>
          </w:p>
        </w:tc>
        <w:tc>
          <w:tcPr>
            <w:tcW w:w="3627" w:type="dxa"/>
            <w:shd w:val="clear" w:color="auto" w:fill="auto"/>
          </w:tcPr>
          <w:p w14:paraId="722D91E8" w14:textId="0358D449" w:rsidR="00B14837" w:rsidRDefault="00DE4D0F" w:rsidP="00C979AD">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（１）音楽科デジタルアーカイブのフレームワークを構成しなさい。</w:t>
            </w:r>
          </w:p>
        </w:tc>
      </w:tr>
      <w:tr w:rsidR="00B14837" w14:paraId="6080AD90" w14:textId="77777777" w:rsidTr="00E32008">
        <w:tc>
          <w:tcPr>
            <w:tcW w:w="846" w:type="dxa"/>
          </w:tcPr>
          <w:p w14:paraId="16C90233" w14:textId="0C306F12" w:rsidR="00B14837" w:rsidRDefault="00B14837" w:rsidP="00B14837">
            <w:pPr>
              <w:spacing w:line="400" w:lineRule="exact"/>
              <w:rPr>
                <w:rFonts w:ascii="メイリオ" w:eastAsia="メイリオ" w:hAnsi="メイリオ"/>
                <w:sz w:val="18"/>
              </w:rPr>
            </w:pPr>
            <w:r>
              <w:rPr>
                <w:rFonts w:ascii="メイリオ" w:eastAsia="メイリオ" w:hAnsi="メイリオ" w:hint="eastAsia"/>
                <w:sz w:val="18"/>
              </w:rPr>
              <w:t>第1</w:t>
            </w:r>
            <w:r>
              <w:rPr>
                <w:rFonts w:ascii="メイリオ" w:eastAsia="メイリオ" w:hAnsi="メイリオ"/>
                <w:sz w:val="18"/>
              </w:rPr>
              <w:t>4</w:t>
            </w:r>
            <w:r>
              <w:rPr>
                <w:rFonts w:ascii="メイリオ" w:eastAsia="メイリオ" w:hAnsi="メイリオ" w:hint="eastAsia"/>
                <w:sz w:val="18"/>
              </w:rPr>
              <w:t>講</w:t>
            </w:r>
          </w:p>
        </w:tc>
        <w:tc>
          <w:tcPr>
            <w:tcW w:w="2693" w:type="dxa"/>
            <w:shd w:val="clear" w:color="auto" w:fill="auto"/>
          </w:tcPr>
          <w:p w14:paraId="38661168" w14:textId="773AD6DC" w:rsidR="00B14837" w:rsidRPr="00C72665" w:rsidRDefault="00DE4D0F" w:rsidP="00B14837">
            <w:pPr>
              <w:spacing w:line="240" w:lineRule="exact"/>
              <w:rPr>
                <w:rFonts w:ascii="メイリオ" w:eastAsia="メイリオ" w:hAnsi="メイリオ"/>
                <w:sz w:val="18"/>
              </w:rPr>
            </w:pPr>
            <w:r w:rsidRPr="00DE4D0F">
              <w:rPr>
                <w:rFonts w:ascii="メイリオ" w:eastAsia="メイリオ" w:hAnsi="メイリオ" w:hint="eastAsia"/>
                <w:sz w:val="18"/>
              </w:rPr>
              <w:t>音楽の意味と価値</w:t>
            </w:r>
          </w:p>
        </w:tc>
        <w:tc>
          <w:tcPr>
            <w:tcW w:w="4394" w:type="dxa"/>
            <w:shd w:val="clear" w:color="auto" w:fill="auto"/>
          </w:tcPr>
          <w:p w14:paraId="57CF7A80"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（１）音楽のおこりと発展について、説明できる。</w:t>
            </w:r>
          </w:p>
          <w:p w14:paraId="3EB68312" w14:textId="4D9B5458" w:rsidR="00B14837"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（３）教材のマトリックスとその活用について、説明できる。</w:t>
            </w:r>
          </w:p>
        </w:tc>
        <w:tc>
          <w:tcPr>
            <w:tcW w:w="3828" w:type="dxa"/>
            <w:shd w:val="clear" w:color="auto" w:fill="auto"/>
          </w:tcPr>
          <w:p w14:paraId="117038BB"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w:t>
            </w:r>
            <w:r w:rsidRPr="00DE4D0F">
              <w:rPr>
                <w:rFonts w:ascii="メイリオ" w:eastAsia="メイリオ" w:hAnsi="メイリオ"/>
                <w:sz w:val="18"/>
              </w:rPr>
              <w:t>1）人間を知る、感じる</w:t>
            </w:r>
          </w:p>
          <w:p w14:paraId="193D24AB"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w:t>
            </w:r>
            <w:r w:rsidRPr="00DE4D0F">
              <w:rPr>
                <w:rFonts w:ascii="メイリオ" w:eastAsia="メイリオ" w:hAnsi="メイリオ"/>
                <w:sz w:val="18"/>
              </w:rPr>
              <w:t>2）音楽の世界</w:t>
            </w:r>
          </w:p>
          <w:p w14:paraId="59B47994"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（３）音楽の見方・考え方</w:t>
            </w:r>
          </w:p>
          <w:p w14:paraId="7BA90B36"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（４）教材の範囲とマトリックス</w:t>
            </w:r>
          </w:p>
          <w:p w14:paraId="1F201EC4"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・鑑賞　西洋音楽史</w:t>
            </w:r>
          </w:p>
          <w:p w14:paraId="2E48FA54"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・日本と諸外国の音楽</w:t>
            </w:r>
          </w:p>
          <w:p w14:paraId="40B83A0A"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・ポピュラーミュージック</w:t>
            </w:r>
          </w:p>
          <w:p w14:paraId="76975D15"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・表現</w:t>
            </w:r>
          </w:p>
          <w:p w14:paraId="27DAEB76" w14:textId="77777777" w:rsidR="00DE4D0F" w:rsidRPr="00DE4D0F" w:rsidRDefault="00DE4D0F" w:rsidP="00DE4D0F">
            <w:pPr>
              <w:spacing w:line="240" w:lineRule="exact"/>
              <w:rPr>
                <w:rFonts w:ascii="メイリオ" w:eastAsia="メイリオ" w:hAnsi="メイリオ"/>
                <w:sz w:val="18"/>
              </w:rPr>
            </w:pPr>
          </w:p>
          <w:p w14:paraId="1487D906"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lastRenderedPageBreak/>
              <w:t>・歌唱と合唱</w:t>
            </w:r>
          </w:p>
          <w:p w14:paraId="3A9D75C6" w14:textId="77777777" w:rsidR="00DE4D0F" w:rsidRPr="00DE4D0F" w:rsidRDefault="00DE4D0F" w:rsidP="00DE4D0F">
            <w:pPr>
              <w:spacing w:line="240" w:lineRule="exact"/>
              <w:rPr>
                <w:rFonts w:ascii="メイリオ" w:eastAsia="メイリオ" w:hAnsi="メイリオ"/>
                <w:sz w:val="18"/>
              </w:rPr>
            </w:pPr>
          </w:p>
          <w:p w14:paraId="7ACF1D88" w14:textId="45BC086B" w:rsidR="00C979AD"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・器楽創作</w:t>
            </w:r>
          </w:p>
        </w:tc>
        <w:tc>
          <w:tcPr>
            <w:tcW w:w="3627" w:type="dxa"/>
            <w:shd w:val="clear" w:color="auto" w:fill="auto"/>
          </w:tcPr>
          <w:p w14:paraId="76ACDBFF" w14:textId="6B14533D" w:rsidR="002A07D3" w:rsidRDefault="00DE4D0F" w:rsidP="00C979AD">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lastRenderedPageBreak/>
              <w:t>（１）学年の音楽科年間指導計画を作成し、教材選定意図を説明しなさい。</w:t>
            </w:r>
          </w:p>
        </w:tc>
      </w:tr>
      <w:tr w:rsidR="00B14837" w14:paraId="23BBD928" w14:textId="77777777" w:rsidTr="00E32008">
        <w:tc>
          <w:tcPr>
            <w:tcW w:w="846" w:type="dxa"/>
          </w:tcPr>
          <w:p w14:paraId="0A0480B8" w14:textId="4CAE5EA3" w:rsidR="00B14837" w:rsidRDefault="00B14837" w:rsidP="00B14837">
            <w:pPr>
              <w:spacing w:line="400" w:lineRule="exact"/>
              <w:rPr>
                <w:rFonts w:ascii="メイリオ" w:eastAsia="メイリオ" w:hAnsi="メイリオ"/>
                <w:sz w:val="18"/>
              </w:rPr>
            </w:pPr>
            <w:r>
              <w:rPr>
                <w:rFonts w:ascii="メイリオ" w:eastAsia="メイリオ" w:hAnsi="メイリオ" w:hint="eastAsia"/>
                <w:sz w:val="18"/>
              </w:rPr>
              <w:lastRenderedPageBreak/>
              <w:t>第1</w:t>
            </w:r>
            <w:r>
              <w:rPr>
                <w:rFonts w:ascii="メイリオ" w:eastAsia="メイリオ" w:hAnsi="メイリオ"/>
                <w:sz w:val="18"/>
              </w:rPr>
              <w:t>5</w:t>
            </w:r>
            <w:r>
              <w:rPr>
                <w:rFonts w:ascii="メイリオ" w:eastAsia="メイリオ" w:hAnsi="メイリオ" w:hint="eastAsia"/>
                <w:sz w:val="18"/>
              </w:rPr>
              <w:t>講</w:t>
            </w:r>
          </w:p>
        </w:tc>
        <w:tc>
          <w:tcPr>
            <w:tcW w:w="2693" w:type="dxa"/>
            <w:shd w:val="clear" w:color="auto" w:fill="auto"/>
          </w:tcPr>
          <w:p w14:paraId="69CAD8E6" w14:textId="37992D99" w:rsidR="00B14837" w:rsidRPr="00C72665" w:rsidRDefault="00DE4D0F" w:rsidP="00B14837">
            <w:pPr>
              <w:spacing w:line="240" w:lineRule="exact"/>
              <w:rPr>
                <w:rFonts w:ascii="メイリオ" w:eastAsia="メイリオ" w:hAnsi="メイリオ"/>
                <w:sz w:val="18"/>
              </w:rPr>
            </w:pPr>
            <w:r w:rsidRPr="00DE4D0F">
              <w:rPr>
                <w:rFonts w:ascii="メイリオ" w:eastAsia="メイリオ" w:hAnsi="メイリオ" w:hint="eastAsia"/>
                <w:sz w:val="18"/>
              </w:rPr>
              <w:t>音楽はなぜ学校に必要か～未来を生きる世代に必要なこと</w:t>
            </w:r>
          </w:p>
        </w:tc>
        <w:tc>
          <w:tcPr>
            <w:tcW w:w="4394" w:type="dxa"/>
            <w:shd w:val="clear" w:color="auto" w:fill="auto"/>
          </w:tcPr>
          <w:p w14:paraId="7821EA1F"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（１）音楽の多様性と普遍性について、音楽の例を挙げて説明できる。</w:t>
            </w:r>
          </w:p>
          <w:p w14:paraId="25EFE964" w14:textId="481F945B" w:rsidR="00B14837"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（２）子ども一人一人が自分の個性に気付き、創造の担い手となる経験ができる音楽科学習を構想できる。</w:t>
            </w:r>
          </w:p>
        </w:tc>
        <w:tc>
          <w:tcPr>
            <w:tcW w:w="3828" w:type="dxa"/>
            <w:shd w:val="clear" w:color="auto" w:fill="auto"/>
          </w:tcPr>
          <w:p w14:paraId="2972F761"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（１）音楽の多様性と普遍性</w:t>
            </w:r>
          </w:p>
          <w:p w14:paraId="3A890008"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～文化や歴史の理解～</w:t>
            </w:r>
          </w:p>
          <w:p w14:paraId="34D30ACC"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（２）人間の感情と音楽・芸術表現のエネルギー</w:t>
            </w:r>
          </w:p>
          <w:p w14:paraId="1F52106C" w14:textId="77777777" w:rsidR="00DE4D0F" w:rsidRPr="00DE4D0F"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（３）感性を育む音楽科の役割</w:t>
            </w:r>
          </w:p>
          <w:p w14:paraId="7FD96223" w14:textId="2A4CD0AF" w:rsidR="00C979AD" w:rsidRPr="00C72665" w:rsidRDefault="00DE4D0F" w:rsidP="00DE4D0F">
            <w:pPr>
              <w:spacing w:line="240" w:lineRule="exact"/>
              <w:rPr>
                <w:rFonts w:ascii="メイリオ" w:eastAsia="メイリオ" w:hAnsi="メイリオ"/>
                <w:sz w:val="18"/>
              </w:rPr>
            </w:pPr>
            <w:r w:rsidRPr="00DE4D0F">
              <w:rPr>
                <w:rFonts w:ascii="メイリオ" w:eastAsia="メイリオ" w:hAnsi="メイリオ" w:hint="eastAsia"/>
                <w:sz w:val="18"/>
              </w:rPr>
              <w:t>（４）想像力とイノベーション（創造性）の発展</w:t>
            </w:r>
          </w:p>
        </w:tc>
        <w:tc>
          <w:tcPr>
            <w:tcW w:w="3627" w:type="dxa"/>
            <w:shd w:val="clear" w:color="auto" w:fill="auto"/>
          </w:tcPr>
          <w:p w14:paraId="5196DD7D" w14:textId="202B97D4" w:rsidR="00B14837" w:rsidRDefault="00DE4D0F" w:rsidP="00C979AD">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（１）創造力を育む音楽科学習指導のために取り組むべきことを説明できる。</w:t>
            </w:r>
          </w:p>
        </w:tc>
      </w:tr>
    </w:tbl>
    <w:p w14:paraId="542B885D" w14:textId="2D6C2F7D" w:rsidR="00446A68" w:rsidRPr="00E2104B" w:rsidRDefault="00446A68" w:rsidP="00890982">
      <w:pPr>
        <w:spacing w:line="400" w:lineRule="exact"/>
        <w:rPr>
          <w:rFonts w:ascii="メイリオ" w:eastAsia="メイリオ" w:hAnsi="メイリオ"/>
          <w:b/>
        </w:rPr>
      </w:pPr>
    </w:p>
    <w:sectPr w:rsidR="00446A68" w:rsidRPr="00E2104B" w:rsidSect="00955E79">
      <w:footerReference w:type="default" r:id="rId7"/>
      <w:pgSz w:w="16838" w:h="11906" w:orient="landscape"/>
      <w:pgMar w:top="720" w:right="720" w:bottom="720" w:left="72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5390C" w14:textId="77777777" w:rsidR="00595C61" w:rsidRDefault="00595C61" w:rsidP="00446A68">
      <w:r>
        <w:separator/>
      </w:r>
    </w:p>
  </w:endnote>
  <w:endnote w:type="continuationSeparator" w:id="0">
    <w:p w14:paraId="05EB25DA" w14:textId="77777777" w:rsidR="00595C61" w:rsidRDefault="00595C61" w:rsidP="0044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549354"/>
      <w:docPartObj>
        <w:docPartGallery w:val="Page Numbers (Bottom of Page)"/>
        <w:docPartUnique/>
      </w:docPartObj>
    </w:sdtPr>
    <w:sdtEndPr/>
    <w:sdtContent>
      <w:p w14:paraId="3416FF34" w14:textId="686B573F" w:rsidR="002028B9" w:rsidRDefault="002028B9">
        <w:pPr>
          <w:pStyle w:val="a6"/>
          <w:jc w:val="center"/>
        </w:pPr>
        <w:r>
          <w:fldChar w:fldCharType="begin"/>
        </w:r>
        <w:r>
          <w:instrText>PAGE   \* MERGEFORMAT</w:instrText>
        </w:r>
        <w:r>
          <w:fldChar w:fldCharType="separate"/>
        </w:r>
        <w:r w:rsidR="00DE4D0F" w:rsidRPr="00DE4D0F">
          <w:rPr>
            <w:noProof/>
            <w:lang w:val="ja-JP"/>
          </w:rPr>
          <w:t>-</w:t>
        </w:r>
        <w:r w:rsidR="00DE4D0F">
          <w:rPr>
            <w:noProof/>
          </w:rPr>
          <w:t xml:space="preserve"> 3 -</w:t>
        </w:r>
        <w:r>
          <w:fldChar w:fldCharType="end"/>
        </w:r>
      </w:p>
    </w:sdtContent>
  </w:sdt>
  <w:p w14:paraId="71494D46" w14:textId="77777777" w:rsidR="002028B9" w:rsidRDefault="002028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92E94" w14:textId="77777777" w:rsidR="00595C61" w:rsidRDefault="00595C61" w:rsidP="00446A68">
      <w:r>
        <w:separator/>
      </w:r>
    </w:p>
  </w:footnote>
  <w:footnote w:type="continuationSeparator" w:id="0">
    <w:p w14:paraId="4246D413" w14:textId="77777777" w:rsidR="00595C61" w:rsidRDefault="00595C61" w:rsidP="00446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7B"/>
    <w:rsid w:val="00002226"/>
    <w:rsid w:val="000C09EF"/>
    <w:rsid w:val="000E4B71"/>
    <w:rsid w:val="00133404"/>
    <w:rsid w:val="00161E24"/>
    <w:rsid w:val="00176F48"/>
    <w:rsid w:val="001D2FCF"/>
    <w:rsid w:val="002028B9"/>
    <w:rsid w:val="00251256"/>
    <w:rsid w:val="002A07D3"/>
    <w:rsid w:val="002A5E63"/>
    <w:rsid w:val="002D2B4B"/>
    <w:rsid w:val="002D3DE9"/>
    <w:rsid w:val="002F3B19"/>
    <w:rsid w:val="00316FB3"/>
    <w:rsid w:val="00321E98"/>
    <w:rsid w:val="00346599"/>
    <w:rsid w:val="0038120F"/>
    <w:rsid w:val="003B4C60"/>
    <w:rsid w:val="003D4103"/>
    <w:rsid w:val="00434A9B"/>
    <w:rsid w:val="00442B87"/>
    <w:rsid w:val="00446A68"/>
    <w:rsid w:val="00465EB7"/>
    <w:rsid w:val="00476604"/>
    <w:rsid w:val="004A2FB4"/>
    <w:rsid w:val="004C533F"/>
    <w:rsid w:val="004D2A3E"/>
    <w:rsid w:val="005343B7"/>
    <w:rsid w:val="00595C61"/>
    <w:rsid w:val="005A17E2"/>
    <w:rsid w:val="005F1C77"/>
    <w:rsid w:val="00657BDC"/>
    <w:rsid w:val="006720E3"/>
    <w:rsid w:val="006863CA"/>
    <w:rsid w:val="00696311"/>
    <w:rsid w:val="006B07F4"/>
    <w:rsid w:val="006F3E93"/>
    <w:rsid w:val="00727599"/>
    <w:rsid w:val="0073495A"/>
    <w:rsid w:val="0074581B"/>
    <w:rsid w:val="007631A6"/>
    <w:rsid w:val="0078745E"/>
    <w:rsid w:val="007A4623"/>
    <w:rsid w:val="007B4165"/>
    <w:rsid w:val="007E42ED"/>
    <w:rsid w:val="007F440F"/>
    <w:rsid w:val="00825998"/>
    <w:rsid w:val="00842335"/>
    <w:rsid w:val="00873511"/>
    <w:rsid w:val="00875D5F"/>
    <w:rsid w:val="00890982"/>
    <w:rsid w:val="008A6A69"/>
    <w:rsid w:val="008E5345"/>
    <w:rsid w:val="008F1CB6"/>
    <w:rsid w:val="008F7EF5"/>
    <w:rsid w:val="00943021"/>
    <w:rsid w:val="00955E79"/>
    <w:rsid w:val="00961F31"/>
    <w:rsid w:val="009637D2"/>
    <w:rsid w:val="009679E0"/>
    <w:rsid w:val="009F5F5C"/>
    <w:rsid w:val="00A254A4"/>
    <w:rsid w:val="00A37218"/>
    <w:rsid w:val="00AB6C31"/>
    <w:rsid w:val="00B14837"/>
    <w:rsid w:val="00B22DF7"/>
    <w:rsid w:val="00B732DF"/>
    <w:rsid w:val="00BD720F"/>
    <w:rsid w:val="00C10455"/>
    <w:rsid w:val="00C51354"/>
    <w:rsid w:val="00C513D9"/>
    <w:rsid w:val="00C72665"/>
    <w:rsid w:val="00C97941"/>
    <w:rsid w:val="00C979AD"/>
    <w:rsid w:val="00D17B28"/>
    <w:rsid w:val="00D42683"/>
    <w:rsid w:val="00DE4D0F"/>
    <w:rsid w:val="00E2104B"/>
    <w:rsid w:val="00E31F00"/>
    <w:rsid w:val="00E32008"/>
    <w:rsid w:val="00E56834"/>
    <w:rsid w:val="00E936E7"/>
    <w:rsid w:val="00FA447B"/>
    <w:rsid w:val="00FA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0EF5D7"/>
  <w15:chartTrackingRefBased/>
  <w15:docId w15:val="{50081BE5-19E2-4DBE-9112-00E88CBD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A68"/>
    <w:pPr>
      <w:tabs>
        <w:tab w:val="center" w:pos="4252"/>
        <w:tab w:val="right" w:pos="8504"/>
      </w:tabs>
      <w:snapToGrid w:val="0"/>
    </w:pPr>
  </w:style>
  <w:style w:type="character" w:customStyle="1" w:styleId="a5">
    <w:name w:val="ヘッダー (文字)"/>
    <w:basedOn w:val="a0"/>
    <w:link w:val="a4"/>
    <w:uiPriority w:val="99"/>
    <w:rsid w:val="00446A68"/>
  </w:style>
  <w:style w:type="paragraph" w:styleId="a6">
    <w:name w:val="footer"/>
    <w:basedOn w:val="a"/>
    <w:link w:val="a7"/>
    <w:uiPriority w:val="99"/>
    <w:unhideWhenUsed/>
    <w:rsid w:val="00446A68"/>
    <w:pPr>
      <w:tabs>
        <w:tab w:val="center" w:pos="4252"/>
        <w:tab w:val="right" w:pos="8504"/>
      </w:tabs>
      <w:snapToGrid w:val="0"/>
    </w:pPr>
  </w:style>
  <w:style w:type="character" w:customStyle="1" w:styleId="a7">
    <w:name w:val="フッター (文字)"/>
    <w:basedOn w:val="a0"/>
    <w:link w:val="a6"/>
    <w:uiPriority w:val="99"/>
    <w:rsid w:val="00446A68"/>
  </w:style>
  <w:style w:type="paragraph" w:styleId="a8">
    <w:name w:val="Balloon Text"/>
    <w:basedOn w:val="a"/>
    <w:link w:val="a9"/>
    <w:uiPriority w:val="99"/>
    <w:semiHidden/>
    <w:unhideWhenUsed/>
    <w:rsid w:val="00446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6A68"/>
    <w:rPr>
      <w:rFonts w:asciiTheme="majorHAnsi" w:eastAsiaTheme="majorEastAsia" w:hAnsiTheme="majorHAnsi" w:cstheme="majorBidi"/>
      <w:sz w:val="18"/>
      <w:szCs w:val="18"/>
    </w:rPr>
  </w:style>
  <w:style w:type="paragraph" w:styleId="aa">
    <w:name w:val="List Paragraph"/>
    <w:basedOn w:val="a"/>
    <w:uiPriority w:val="34"/>
    <w:qFormat/>
    <w:rsid w:val="00C513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9267">
      <w:bodyDiv w:val="1"/>
      <w:marLeft w:val="0"/>
      <w:marRight w:val="0"/>
      <w:marTop w:val="0"/>
      <w:marBottom w:val="0"/>
      <w:divBdr>
        <w:top w:val="none" w:sz="0" w:space="0" w:color="auto"/>
        <w:left w:val="none" w:sz="0" w:space="0" w:color="auto"/>
        <w:bottom w:val="none" w:sz="0" w:space="0" w:color="auto"/>
        <w:right w:val="none" w:sz="0" w:space="0" w:color="auto"/>
      </w:divBdr>
    </w:div>
    <w:div w:id="392657738">
      <w:bodyDiv w:val="1"/>
      <w:marLeft w:val="0"/>
      <w:marRight w:val="0"/>
      <w:marTop w:val="0"/>
      <w:marBottom w:val="0"/>
      <w:divBdr>
        <w:top w:val="none" w:sz="0" w:space="0" w:color="auto"/>
        <w:left w:val="none" w:sz="0" w:space="0" w:color="auto"/>
        <w:bottom w:val="none" w:sz="0" w:space="0" w:color="auto"/>
        <w:right w:val="none" w:sz="0" w:space="0" w:color="auto"/>
      </w:divBdr>
    </w:div>
    <w:div w:id="444740971">
      <w:bodyDiv w:val="1"/>
      <w:marLeft w:val="0"/>
      <w:marRight w:val="0"/>
      <w:marTop w:val="0"/>
      <w:marBottom w:val="0"/>
      <w:divBdr>
        <w:top w:val="none" w:sz="0" w:space="0" w:color="auto"/>
        <w:left w:val="none" w:sz="0" w:space="0" w:color="auto"/>
        <w:bottom w:val="none" w:sz="0" w:space="0" w:color="auto"/>
        <w:right w:val="none" w:sz="0" w:space="0" w:color="auto"/>
      </w:divBdr>
    </w:div>
    <w:div w:id="517736734">
      <w:bodyDiv w:val="1"/>
      <w:marLeft w:val="0"/>
      <w:marRight w:val="0"/>
      <w:marTop w:val="0"/>
      <w:marBottom w:val="0"/>
      <w:divBdr>
        <w:top w:val="none" w:sz="0" w:space="0" w:color="auto"/>
        <w:left w:val="none" w:sz="0" w:space="0" w:color="auto"/>
        <w:bottom w:val="none" w:sz="0" w:space="0" w:color="auto"/>
        <w:right w:val="none" w:sz="0" w:space="0" w:color="auto"/>
      </w:divBdr>
    </w:div>
    <w:div w:id="529611833">
      <w:bodyDiv w:val="1"/>
      <w:marLeft w:val="0"/>
      <w:marRight w:val="0"/>
      <w:marTop w:val="0"/>
      <w:marBottom w:val="0"/>
      <w:divBdr>
        <w:top w:val="none" w:sz="0" w:space="0" w:color="auto"/>
        <w:left w:val="none" w:sz="0" w:space="0" w:color="auto"/>
        <w:bottom w:val="none" w:sz="0" w:space="0" w:color="auto"/>
        <w:right w:val="none" w:sz="0" w:space="0" w:color="auto"/>
      </w:divBdr>
    </w:div>
    <w:div w:id="537663964">
      <w:bodyDiv w:val="1"/>
      <w:marLeft w:val="0"/>
      <w:marRight w:val="0"/>
      <w:marTop w:val="0"/>
      <w:marBottom w:val="0"/>
      <w:divBdr>
        <w:top w:val="none" w:sz="0" w:space="0" w:color="auto"/>
        <w:left w:val="none" w:sz="0" w:space="0" w:color="auto"/>
        <w:bottom w:val="none" w:sz="0" w:space="0" w:color="auto"/>
        <w:right w:val="none" w:sz="0" w:space="0" w:color="auto"/>
      </w:divBdr>
    </w:div>
    <w:div w:id="691228859">
      <w:bodyDiv w:val="1"/>
      <w:marLeft w:val="0"/>
      <w:marRight w:val="0"/>
      <w:marTop w:val="0"/>
      <w:marBottom w:val="0"/>
      <w:divBdr>
        <w:top w:val="none" w:sz="0" w:space="0" w:color="auto"/>
        <w:left w:val="none" w:sz="0" w:space="0" w:color="auto"/>
        <w:bottom w:val="none" w:sz="0" w:space="0" w:color="auto"/>
        <w:right w:val="none" w:sz="0" w:space="0" w:color="auto"/>
      </w:divBdr>
    </w:div>
    <w:div w:id="791942988">
      <w:bodyDiv w:val="1"/>
      <w:marLeft w:val="0"/>
      <w:marRight w:val="0"/>
      <w:marTop w:val="0"/>
      <w:marBottom w:val="0"/>
      <w:divBdr>
        <w:top w:val="none" w:sz="0" w:space="0" w:color="auto"/>
        <w:left w:val="none" w:sz="0" w:space="0" w:color="auto"/>
        <w:bottom w:val="none" w:sz="0" w:space="0" w:color="auto"/>
        <w:right w:val="none" w:sz="0" w:space="0" w:color="auto"/>
      </w:divBdr>
    </w:div>
    <w:div w:id="949052146">
      <w:bodyDiv w:val="1"/>
      <w:marLeft w:val="0"/>
      <w:marRight w:val="0"/>
      <w:marTop w:val="0"/>
      <w:marBottom w:val="0"/>
      <w:divBdr>
        <w:top w:val="none" w:sz="0" w:space="0" w:color="auto"/>
        <w:left w:val="none" w:sz="0" w:space="0" w:color="auto"/>
        <w:bottom w:val="none" w:sz="0" w:space="0" w:color="auto"/>
        <w:right w:val="none" w:sz="0" w:space="0" w:color="auto"/>
      </w:divBdr>
    </w:div>
    <w:div w:id="1133257615">
      <w:bodyDiv w:val="1"/>
      <w:marLeft w:val="0"/>
      <w:marRight w:val="0"/>
      <w:marTop w:val="0"/>
      <w:marBottom w:val="0"/>
      <w:divBdr>
        <w:top w:val="none" w:sz="0" w:space="0" w:color="auto"/>
        <w:left w:val="none" w:sz="0" w:space="0" w:color="auto"/>
        <w:bottom w:val="none" w:sz="0" w:space="0" w:color="auto"/>
        <w:right w:val="none" w:sz="0" w:space="0" w:color="auto"/>
      </w:divBdr>
    </w:div>
    <w:div w:id="1310600042">
      <w:bodyDiv w:val="1"/>
      <w:marLeft w:val="0"/>
      <w:marRight w:val="0"/>
      <w:marTop w:val="0"/>
      <w:marBottom w:val="0"/>
      <w:divBdr>
        <w:top w:val="none" w:sz="0" w:space="0" w:color="auto"/>
        <w:left w:val="none" w:sz="0" w:space="0" w:color="auto"/>
        <w:bottom w:val="none" w:sz="0" w:space="0" w:color="auto"/>
        <w:right w:val="none" w:sz="0" w:space="0" w:color="auto"/>
      </w:divBdr>
    </w:div>
    <w:div w:id="1358852338">
      <w:bodyDiv w:val="1"/>
      <w:marLeft w:val="0"/>
      <w:marRight w:val="0"/>
      <w:marTop w:val="0"/>
      <w:marBottom w:val="0"/>
      <w:divBdr>
        <w:top w:val="none" w:sz="0" w:space="0" w:color="auto"/>
        <w:left w:val="none" w:sz="0" w:space="0" w:color="auto"/>
        <w:bottom w:val="none" w:sz="0" w:space="0" w:color="auto"/>
        <w:right w:val="none" w:sz="0" w:space="0" w:color="auto"/>
      </w:divBdr>
    </w:div>
    <w:div w:id="2058813695">
      <w:bodyDiv w:val="1"/>
      <w:marLeft w:val="0"/>
      <w:marRight w:val="0"/>
      <w:marTop w:val="0"/>
      <w:marBottom w:val="0"/>
      <w:divBdr>
        <w:top w:val="none" w:sz="0" w:space="0" w:color="auto"/>
        <w:left w:val="none" w:sz="0" w:space="0" w:color="auto"/>
        <w:bottom w:val="none" w:sz="0" w:space="0" w:color="auto"/>
        <w:right w:val="none" w:sz="0" w:space="0" w:color="auto"/>
      </w:divBdr>
    </w:div>
    <w:div w:id="21246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久世 均</dc:creator>
  <cp:keywords/>
  <dc:description/>
  <cp:lastModifiedBy>Hewlett-Packard Company</cp:lastModifiedBy>
  <cp:revision>2</cp:revision>
  <cp:lastPrinted>2023-08-02T08:53:00Z</cp:lastPrinted>
  <dcterms:created xsi:type="dcterms:W3CDTF">2024-07-12T03:32:00Z</dcterms:created>
  <dcterms:modified xsi:type="dcterms:W3CDTF">2024-07-12T03:32:00Z</dcterms:modified>
</cp:coreProperties>
</file>