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="284" w:tblpY="721"/>
        <w:tblW w:w="152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5"/>
        <w:gridCol w:w="2127"/>
        <w:gridCol w:w="2354"/>
        <w:gridCol w:w="2409"/>
        <w:gridCol w:w="2268"/>
        <w:gridCol w:w="2410"/>
        <w:gridCol w:w="2094"/>
      </w:tblGrid>
      <w:tr w:rsidR="00061598" w:rsidRPr="001C5225" w14:paraId="3F772BD0" w14:textId="77777777" w:rsidTr="008C159B">
        <w:trPr>
          <w:trHeight w:val="251"/>
        </w:trPr>
        <w:tc>
          <w:tcPr>
            <w:tcW w:w="152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1E246" w14:textId="1A75E93E" w:rsidR="00061598" w:rsidRDefault="00061598" w:rsidP="00F8773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6159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タキソノミーテーブル（教育目標の分類体系：タキソノミー）</w:t>
            </w:r>
          </w:p>
          <w:p w14:paraId="79FECFCF" w14:textId="0128F6CF" w:rsidR="00061598" w:rsidRPr="001C5225" w:rsidRDefault="00061598" w:rsidP="00CE15A1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lang w:eastAsia="zh-TW"/>
              </w:rPr>
            </w:pP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lang w:eastAsia="zh-TW"/>
              </w:rPr>
              <w:t>科目名</w:t>
            </w:r>
            <w:r w:rsidRPr="00787F8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  <w:r w:rsidR="00BD60E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lang w:eastAsia="zh-TW"/>
              </w:rPr>
              <w:t>初等科教育法（音楽）</w:t>
            </w: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lang w:eastAsia="zh-TW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lang w:eastAsia="zh-TW"/>
              </w:rPr>
              <w:t>202</w:t>
            </w:r>
            <w:r w:rsidR="00BD60E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lang w:eastAsia="zh-TW"/>
              </w:rPr>
              <w:t>5</w:t>
            </w: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lang w:eastAsia="zh-TW"/>
              </w:rPr>
              <w:t xml:space="preserve">年　</w:t>
            </w:r>
            <w:r w:rsidR="00BD60E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lang w:eastAsia="zh-TW"/>
              </w:rPr>
              <w:t>３</w:t>
            </w: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lang w:eastAsia="zh-TW"/>
              </w:rPr>
              <w:t>月</w:t>
            </w:r>
            <w:r w:rsidR="00BD60E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lang w:eastAsia="zh-TW"/>
              </w:rPr>
              <w:t>31</w:t>
            </w: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lang w:eastAsia="zh-TW"/>
              </w:rPr>
              <w:t>日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lang w:eastAsia="zh-TW"/>
              </w:rPr>
              <w:t>作成</w:t>
            </w: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lang w:eastAsia="zh-TW"/>
              </w:rPr>
              <w:t xml:space="preserve">）　　　　</w:t>
            </w:r>
            <w:r w:rsidR="00CE15A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lang w:eastAsia="zh-TW"/>
              </w:rPr>
              <w:t xml:space="preserve">　　　　　　　　　　　　　</w:t>
            </w:r>
            <w:r w:rsidR="00B967C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lang w:eastAsia="zh-TW"/>
              </w:rPr>
              <w:t xml:space="preserve">　　　　　　　</w:t>
            </w:r>
            <w:r w:rsidR="00E6187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B967C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lang w:eastAsia="zh-TW"/>
              </w:rPr>
              <w:t>2023536205</w:t>
            </w:r>
            <w:r w:rsidRPr="00787F8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  <w:r w:rsidR="00BD60E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lang w:eastAsia="zh-TW"/>
              </w:rPr>
              <w:t xml:space="preserve">岩木　美詠子　</w:t>
            </w:r>
          </w:p>
        </w:tc>
      </w:tr>
      <w:tr w:rsidR="00061598" w:rsidRPr="001C5225" w14:paraId="40CA6DFB" w14:textId="77777777" w:rsidTr="00C94520">
        <w:trPr>
          <w:trHeight w:val="421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EA81B61" w14:textId="1CA77669" w:rsidR="00BD60E1" w:rsidRPr="00BD60E1" w:rsidRDefault="00061598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D60E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(○○する</w:t>
            </w:r>
            <w:r w:rsidR="00BD60E1" w:rsidRPr="00BD60E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、力が</w:t>
            </w:r>
          </w:p>
          <w:p w14:paraId="59D8AEE4" w14:textId="138C09A7" w:rsidR="00061598" w:rsidRPr="001C5225" w:rsidRDefault="00061598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内容　　</w:t>
            </w:r>
            <w:r w:rsidR="00BD60E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D60E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ある)</w:t>
            </w: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12466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事実、概念、</w:t>
            </w:r>
            <w:r w:rsidRPr="0012466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br/>
              <w:t>手続き、メタ認知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8BA42FB" w14:textId="77777777" w:rsidR="00061598" w:rsidRPr="001C5225" w:rsidRDefault="00061598" w:rsidP="0027378E">
            <w:pPr>
              <w:widowControl/>
              <w:snapToGrid w:val="0"/>
              <w:spacing w:line="0" w:lineRule="atLeas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想起する</w:t>
            </w:r>
          </w:p>
        </w:tc>
        <w:tc>
          <w:tcPr>
            <w:tcW w:w="235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A89570" w14:textId="77777777" w:rsidR="00061598" w:rsidRPr="001C5225" w:rsidRDefault="00061598" w:rsidP="0027378E">
            <w:pPr>
              <w:widowControl/>
              <w:snapToGrid w:val="0"/>
              <w:spacing w:line="0" w:lineRule="atLeas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理解する</w:t>
            </w:r>
          </w:p>
        </w:tc>
        <w:tc>
          <w:tcPr>
            <w:tcW w:w="24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A79C5FF" w14:textId="77777777" w:rsidR="00061598" w:rsidRPr="001C5225" w:rsidRDefault="00061598" w:rsidP="0027378E">
            <w:pPr>
              <w:widowControl/>
              <w:snapToGrid w:val="0"/>
              <w:spacing w:line="0" w:lineRule="atLeas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応用する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ADBF73" w14:textId="77777777" w:rsidR="00061598" w:rsidRPr="001C5225" w:rsidRDefault="00061598" w:rsidP="0027378E">
            <w:pPr>
              <w:widowControl/>
              <w:snapToGrid w:val="0"/>
              <w:spacing w:line="0" w:lineRule="atLeas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分析する</w:t>
            </w:r>
          </w:p>
        </w:tc>
        <w:tc>
          <w:tcPr>
            <w:tcW w:w="241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966357" w14:textId="77777777" w:rsidR="00061598" w:rsidRPr="001C5225" w:rsidRDefault="00061598" w:rsidP="0027378E">
            <w:pPr>
              <w:widowControl/>
              <w:snapToGrid w:val="0"/>
              <w:spacing w:line="0" w:lineRule="atLeas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評価する</w:t>
            </w:r>
          </w:p>
        </w:tc>
        <w:tc>
          <w:tcPr>
            <w:tcW w:w="209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46DBBCD" w14:textId="414094BC" w:rsidR="00061598" w:rsidRPr="001C5225" w:rsidRDefault="00061598" w:rsidP="0027378E">
            <w:pPr>
              <w:widowControl/>
              <w:snapToGrid w:val="0"/>
              <w:spacing w:line="0" w:lineRule="atLeas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創造する</w:t>
            </w:r>
          </w:p>
        </w:tc>
      </w:tr>
      <w:tr w:rsidR="00061598" w:rsidRPr="001C5225" w14:paraId="21B2000D" w14:textId="77777777" w:rsidTr="00C94520">
        <w:trPr>
          <w:trHeight w:val="421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A0D1A" w14:textId="77777777" w:rsidR="00061598" w:rsidRPr="001C5225" w:rsidRDefault="00061598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6CE6" w14:textId="77777777" w:rsidR="00061598" w:rsidRPr="001C5225" w:rsidRDefault="00061598" w:rsidP="0027378E">
            <w:pPr>
              <w:widowControl/>
              <w:snapToGrid w:val="0"/>
              <w:spacing w:line="0" w:lineRule="atLeas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（再認、再生）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6DD9" w14:textId="77777777" w:rsidR="00061598" w:rsidRPr="001C5225" w:rsidRDefault="00061598" w:rsidP="0027378E">
            <w:pPr>
              <w:widowControl/>
              <w:snapToGrid w:val="0"/>
              <w:spacing w:line="0" w:lineRule="atLeas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解釈、例示、分類、推論、比較、説明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03D0" w14:textId="77777777" w:rsidR="00061598" w:rsidRPr="001C5225" w:rsidRDefault="00061598" w:rsidP="0027378E">
            <w:pPr>
              <w:widowControl/>
              <w:snapToGrid w:val="0"/>
              <w:spacing w:line="0" w:lineRule="atLeas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実行、遂行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FE34" w14:textId="77777777" w:rsidR="00061598" w:rsidRPr="001C5225" w:rsidRDefault="00061598" w:rsidP="0027378E">
            <w:pPr>
              <w:widowControl/>
              <w:snapToGrid w:val="0"/>
              <w:spacing w:line="0" w:lineRule="atLeas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比較、組織</w:t>
            </w: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br/>
              <w:t>結果と原因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0135" w14:textId="77777777" w:rsidR="00061598" w:rsidRPr="001C5225" w:rsidRDefault="00061598" w:rsidP="0027378E">
            <w:pPr>
              <w:widowControl/>
              <w:snapToGrid w:val="0"/>
              <w:spacing w:line="0" w:lineRule="atLeas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チェック、判断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32CE" w14:textId="77777777" w:rsidR="00061598" w:rsidRPr="001C5225" w:rsidRDefault="00061598" w:rsidP="0027378E">
            <w:pPr>
              <w:widowControl/>
              <w:snapToGrid w:val="0"/>
              <w:spacing w:line="0" w:lineRule="atLeas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生み出す、計画</w:t>
            </w:r>
            <w:r w:rsidRPr="001C522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br/>
              <w:t>できる、汎化</w:t>
            </w:r>
          </w:p>
        </w:tc>
      </w:tr>
      <w:tr w:rsidR="006873D9" w:rsidRPr="001C5225" w14:paraId="1741B045" w14:textId="77777777" w:rsidTr="0027378E">
        <w:trPr>
          <w:trHeight w:val="518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4B8A5E6" w14:textId="5FB9CCE9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B6471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１　21世紀型学力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44B7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0A5A" w14:textId="0A224AA5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21世紀学力について説明する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11DC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205BB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A47C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02CF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873D9" w:rsidRPr="001C5225" w14:paraId="4FDC5601" w14:textId="77777777" w:rsidTr="00C94520">
        <w:trPr>
          <w:trHeight w:val="540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402ED32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646A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1AC3" w14:textId="4CAAA5E3" w:rsidR="006873D9" w:rsidRDefault="006873D9" w:rsidP="0027378E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862E" w14:textId="5D532F69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前向き授業の音楽科の取り組み例をあげる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564B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754D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60722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B64718" w:rsidRPr="001C5225" w14:paraId="24153D56" w14:textId="77777777" w:rsidTr="00C94520">
        <w:trPr>
          <w:trHeight w:val="310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E13FE4A" w14:textId="2703573F" w:rsidR="00B64718" w:rsidRPr="00B64718" w:rsidRDefault="00B64718" w:rsidP="0027378E">
            <w:pPr>
              <w:widowControl/>
              <w:snapToGrid w:val="0"/>
              <w:spacing w:line="0" w:lineRule="atLeast"/>
              <w:ind w:left="160" w:hangingChars="100" w:hanging="16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２　</w:t>
            </w:r>
            <w:r w:rsidRPr="00B6471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インストラクショナルデザイン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31B3" w14:textId="77777777" w:rsidR="00B64718" w:rsidRPr="00B64718" w:rsidRDefault="00B64718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918C" w14:textId="3986067C" w:rsidR="00B64718" w:rsidRPr="00B64718" w:rsidRDefault="00B64718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B6471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インストラクショナルデザインとは何か説明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する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6288" w14:textId="77777777" w:rsidR="00B64718" w:rsidRPr="00B64718" w:rsidRDefault="00B64718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B77F" w14:textId="77777777" w:rsidR="00B64718" w:rsidRPr="00B64718" w:rsidRDefault="00B64718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276E6" w14:textId="77777777" w:rsidR="00B64718" w:rsidRPr="00B64718" w:rsidRDefault="00B64718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47C0" w14:textId="77777777" w:rsidR="00B64718" w:rsidRPr="00B64718" w:rsidRDefault="00B64718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B64718" w:rsidRPr="001C5225" w14:paraId="2E43D711" w14:textId="77777777" w:rsidTr="00C94520">
        <w:trPr>
          <w:trHeight w:val="310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DDEC2A4" w14:textId="77777777" w:rsidR="00B64718" w:rsidRPr="00B64718" w:rsidRDefault="00B64718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F97A" w14:textId="77777777" w:rsidR="00B64718" w:rsidRPr="00B64718" w:rsidRDefault="00B64718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865F" w14:textId="77777777" w:rsidR="00B64718" w:rsidRPr="00B64718" w:rsidRDefault="00B64718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EE8A" w14:textId="48F00FA3" w:rsidR="00B64718" w:rsidRPr="00B64718" w:rsidRDefault="00B64718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B64718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ADDIEモデルについて事例をあげる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6D9B4" w14:textId="77777777" w:rsidR="00B64718" w:rsidRPr="00B64718" w:rsidRDefault="00B64718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C9B9" w14:textId="77777777" w:rsidR="00B64718" w:rsidRPr="00B64718" w:rsidRDefault="00B64718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9771" w14:textId="77777777" w:rsidR="00B64718" w:rsidRPr="00B64718" w:rsidRDefault="00B64718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873D9" w:rsidRPr="001C5225" w14:paraId="55E62E77" w14:textId="77777777" w:rsidTr="00C94520">
        <w:trPr>
          <w:trHeight w:val="310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B9E7B51" w14:textId="5F833858" w:rsidR="006873D9" w:rsidRPr="00B64718" w:rsidRDefault="006873D9" w:rsidP="0027378E">
            <w:pPr>
              <w:widowControl/>
              <w:snapToGrid w:val="0"/>
              <w:spacing w:line="0" w:lineRule="atLeast"/>
              <w:ind w:left="160" w:hangingChars="100" w:hanging="16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３　</w:t>
            </w:r>
            <w:r w:rsidRPr="00B6471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学習目標の明確化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D1F5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5D7A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D103" w14:textId="09D56185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873D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ブルームの教育目標分類について、行動目標による例を取り上げて説明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する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FC65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873D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ブルームの教育目標分類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と</w:t>
            </w:r>
          </w:p>
          <w:p w14:paraId="39F122B4" w14:textId="1D767498" w:rsidR="006873D9" w:rsidRPr="00B64718" w:rsidRDefault="006873D9" w:rsidP="0027378E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873D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ガニェの学習成果の</w:t>
            </w:r>
            <w:r w:rsidRPr="006873D9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5分類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を比較して、それぞれのよさと違いを</w:t>
            </w:r>
            <w:r w:rsidRPr="006873D9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説明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する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D1939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84A3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873D9" w:rsidRPr="001C5225" w14:paraId="3AF72D1A" w14:textId="77777777" w:rsidTr="00C94520">
        <w:trPr>
          <w:trHeight w:val="310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A916F7B" w14:textId="2AEBB51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C33C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B0E3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B102" w14:textId="5A0AD3DA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873D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ガニェの学習成果の</w:t>
            </w:r>
            <w:r w:rsidRPr="006873D9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5分類について、具体例を挙げて説明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する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6A94" w14:textId="104CF18A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62DE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B3D7" w14:textId="7A921D60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873D9" w:rsidRPr="001C5225" w14:paraId="02838621" w14:textId="77777777" w:rsidTr="00C94520">
        <w:trPr>
          <w:trHeight w:val="310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015E120" w14:textId="77777777" w:rsidR="00323CCA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873D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４　教育方法の歴</w:t>
            </w:r>
            <w:r w:rsidR="00323C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78A0ACC" w14:textId="426A6131" w:rsidR="006873D9" w:rsidRPr="00B64718" w:rsidRDefault="00323CCA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6873D9" w:rsidRPr="006873D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史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1178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0EDE" w14:textId="263C8D40" w:rsidR="006873D9" w:rsidRPr="00B64718" w:rsidRDefault="00055262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学習観</w:t>
            </w:r>
            <w:r w:rsidR="002737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行動主義、認知主義、構成主義、社会構成主義</w:t>
            </w:r>
            <w:r w:rsidR="002737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の変化について説明する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5887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12E0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0180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7B72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873D9" w:rsidRPr="001C5225" w14:paraId="225E724B" w14:textId="77777777" w:rsidTr="00C94520">
        <w:trPr>
          <w:trHeight w:val="310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ABD5EEE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9A1F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5093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E045" w14:textId="2AC50221" w:rsidR="00216131" w:rsidRPr="00B64718" w:rsidRDefault="00055262" w:rsidP="00216131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05526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現在の学習指導要領にお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ける</w:t>
            </w:r>
            <w:r w:rsidRPr="0005526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学習者の主体的に学ぶ態度</w:t>
            </w:r>
            <w:r w:rsidR="002737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Pr="0005526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自律的な学び</w:t>
            </w:r>
            <w:r w:rsidR="002737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  <w:r w:rsidRPr="0005526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について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、</w:t>
            </w:r>
            <w:r w:rsidRPr="0005526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音楽科の具体例を示しながら説明できる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967E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0C48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FBF3" w14:textId="77777777" w:rsidR="006873D9" w:rsidRPr="00B64718" w:rsidRDefault="006873D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A9194E" w:rsidRPr="001C5225" w14:paraId="58029A84" w14:textId="77777777" w:rsidTr="00C94520">
        <w:trPr>
          <w:trHeight w:val="310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C5378FF" w14:textId="36840280" w:rsidR="00A9194E" w:rsidRPr="00B64718" w:rsidRDefault="00323CCA" w:rsidP="0027378E">
            <w:pPr>
              <w:widowControl/>
              <w:snapToGrid w:val="0"/>
              <w:spacing w:line="0" w:lineRule="atLeast"/>
              <w:ind w:left="160" w:hangingChars="100" w:hanging="16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bookmarkStart w:id="0" w:name="_Hlk191304987"/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５　</w:t>
            </w:r>
            <w:r w:rsidR="0079016E" w:rsidRPr="0079016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学習意欲を高める指導法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88A2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778F4" w14:textId="0092C7DC" w:rsidR="00A9194E" w:rsidRPr="00B64718" w:rsidRDefault="0079016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9016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音楽科の学習の動機づけの具体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例を挙げ</w:t>
            </w:r>
            <w:r w:rsidRPr="0079016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、</w:t>
            </w:r>
            <w:r w:rsidRPr="0079016E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J.M.ケラーの</w:t>
            </w:r>
            <w:r w:rsidRPr="0079016E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lastRenderedPageBreak/>
              <w:t>ARCＳモデルのどの分類にあたるか、説明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する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1B22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AFCF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647A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72B6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A9194E" w:rsidRPr="001C5225" w14:paraId="263626A4" w14:textId="77777777" w:rsidTr="00C94520">
        <w:trPr>
          <w:trHeight w:val="310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6EE9117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2913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9259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2F01" w14:textId="6AC8C77C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2EEE" w14:textId="73E4D110" w:rsidR="00A9194E" w:rsidRPr="00B64718" w:rsidRDefault="00152AEA" w:rsidP="00CE15A1">
            <w:pPr>
              <w:widowControl/>
              <w:snapToGrid w:val="0"/>
              <w:spacing w:line="0" w:lineRule="atLeast"/>
              <w:ind w:rightChars="-44" w:right="-92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152AE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大人の学び支援について、その違いを具体的にカードで５つ挙げ、グループごとに分類し説明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する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13B7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103F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D14C2" w:rsidRPr="00EA3F49" w14:paraId="638B9389" w14:textId="77777777" w:rsidTr="00C94520">
        <w:trPr>
          <w:trHeight w:val="310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752ED5" w14:textId="68C83C6E" w:rsidR="007D14C2" w:rsidRPr="00B64718" w:rsidRDefault="007D14C2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６　</w:t>
            </w:r>
            <w:r w:rsidRPr="0097777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教育デザイン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5F45" w14:textId="0DEB4255" w:rsidR="007D14C2" w:rsidRPr="00B64718" w:rsidRDefault="007D14C2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受けてきた音楽の授業の</w:t>
            </w:r>
            <w:r w:rsidR="002737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単元・題材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構成の種類を振り返る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B542" w14:textId="75BCD579" w:rsidR="007D14C2" w:rsidRPr="00B64718" w:rsidRDefault="007D14C2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97777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「主題による題材構成」「楽曲による題材構成」について説明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する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5AA0" w14:textId="77777777" w:rsidR="007D14C2" w:rsidRPr="00B64718" w:rsidRDefault="007D14C2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8810" w14:textId="77777777" w:rsidR="007D14C2" w:rsidRPr="00B64718" w:rsidRDefault="007D14C2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B9C8" w14:textId="77777777" w:rsidR="007D14C2" w:rsidRPr="00B64718" w:rsidRDefault="007D14C2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240A" w14:textId="27E29EFF" w:rsidR="007D14C2" w:rsidRPr="00B64718" w:rsidRDefault="007D14C2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D14C2" w:rsidRPr="001C5225" w14:paraId="05A45373" w14:textId="77777777" w:rsidTr="00C94520">
        <w:trPr>
          <w:trHeight w:val="556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CA7CB01" w14:textId="77777777" w:rsidR="007D14C2" w:rsidRPr="00B64718" w:rsidRDefault="007D14C2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D634" w14:textId="77777777" w:rsidR="007D14C2" w:rsidRPr="00B64718" w:rsidRDefault="007D14C2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7803" w14:textId="77777777" w:rsidR="007D14C2" w:rsidRPr="00B64718" w:rsidRDefault="007D14C2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CCE0" w14:textId="0C2853F4" w:rsidR="007D14C2" w:rsidRPr="00B64718" w:rsidRDefault="007D14C2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3AEB" w14:textId="413E3BFE" w:rsidR="007D14C2" w:rsidRPr="00B64718" w:rsidRDefault="007D14C2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デモンストレーション授業を受けて、題材構成のよかった点、うまくいかなかった点を分析し、評価する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F309" w14:textId="65BCBD13" w:rsidR="007D14C2" w:rsidRPr="00B64718" w:rsidRDefault="007D14C2" w:rsidP="003A024D">
            <w:pPr>
              <w:widowControl/>
              <w:snapToGrid w:val="0"/>
              <w:spacing w:line="0" w:lineRule="atLeast"/>
              <w:ind w:rightChars="-60" w:right="-126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97777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フローチャートを用いて、題材構成（授業デザイン）する</w:t>
            </w:r>
          </w:p>
        </w:tc>
      </w:tr>
      <w:tr w:rsidR="00A9194E" w:rsidRPr="001C5225" w14:paraId="5A8CD422" w14:textId="77777777" w:rsidTr="00C94520">
        <w:trPr>
          <w:trHeight w:val="70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C221894" w14:textId="2D5877FD" w:rsidR="00A9194E" w:rsidRPr="00B64718" w:rsidRDefault="00323CCA" w:rsidP="0027378E">
            <w:pPr>
              <w:widowControl/>
              <w:snapToGrid w:val="0"/>
              <w:spacing w:line="0" w:lineRule="atLeast"/>
              <w:ind w:left="160" w:hangingChars="100" w:hanging="16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７　</w:t>
            </w:r>
            <w:r w:rsidR="0097777A" w:rsidRPr="0097777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学校段階間の接続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5A947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D585" w14:textId="6BBB1DF8" w:rsidR="00A9194E" w:rsidRPr="00B64718" w:rsidRDefault="00B20288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B2028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保幼小の連携、小中の学習指導要領の構成について、説明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する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2927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B535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656F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091F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A9194E" w:rsidRPr="001C5225" w14:paraId="56BD0161" w14:textId="77777777" w:rsidTr="00C94520">
        <w:trPr>
          <w:trHeight w:val="114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7B30F70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3BE3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6B80" w14:textId="2C21E5F9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E6E4" w14:textId="3DFBE6A8" w:rsidR="00A9194E" w:rsidRPr="00B64718" w:rsidRDefault="00B20288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B2028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発達段階を踏まえた指導の充実（低・中・高学年）について、具体的な手だてを説明できる。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870D" w14:textId="03CC9015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EFD6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D729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A9194E" w:rsidRPr="001C5225" w14:paraId="57BBAEBB" w14:textId="77777777" w:rsidTr="00C94520">
        <w:trPr>
          <w:trHeight w:val="177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BEADD00" w14:textId="6F27F841" w:rsidR="00A9194E" w:rsidRPr="00B64718" w:rsidRDefault="00323CCA" w:rsidP="0027378E">
            <w:pPr>
              <w:widowControl/>
              <w:snapToGrid w:val="0"/>
              <w:spacing w:line="0" w:lineRule="atLeast"/>
              <w:ind w:left="160" w:hangingChars="100" w:hanging="16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８　</w:t>
            </w:r>
            <w:r w:rsidR="003C71B9" w:rsidRPr="003C71B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新たな学び</w:t>
            </w:r>
            <w:r w:rsidR="003C71B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の学習環境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1F04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CA60" w14:textId="09A02C20" w:rsidR="00A9194E" w:rsidRPr="00B64718" w:rsidRDefault="003C71B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3C71B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キャロル（</w:t>
            </w:r>
            <w:proofErr w:type="spellStart"/>
            <w:r w:rsidRPr="003C71B9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J.B.Carroll</w:t>
            </w:r>
            <w:proofErr w:type="spellEnd"/>
            <w:r w:rsidRPr="003C71B9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）の学校学習の時間モデルについて説明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する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8A55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C754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C34D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1607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A9194E" w:rsidRPr="001C5225" w14:paraId="4773AF04" w14:textId="77777777" w:rsidTr="00C94520">
        <w:trPr>
          <w:trHeight w:val="127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62B31DF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0E1B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F055" w14:textId="77777777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D481" w14:textId="5E7DA63D" w:rsidR="00EA6A28" w:rsidRPr="00B64718" w:rsidRDefault="003C71B9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3C71B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「教えないで学べる」とはどのようなことか具体例を挙げて説明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す</w:t>
            </w:r>
            <w:r w:rsidRPr="003C71B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3ACC" w14:textId="493D34BC" w:rsidR="00A9194E" w:rsidRPr="00B64718" w:rsidRDefault="00A9194E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6718" w14:textId="15699AC8" w:rsidR="00A9194E" w:rsidRPr="00B64718" w:rsidRDefault="008D1FEC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8D1FEC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EdTech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を用いた実践の生徒役として使用して、その実践を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評価する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EC64" w14:textId="07405DC7" w:rsidR="00A9194E" w:rsidRPr="00B64718" w:rsidRDefault="008D1FEC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8D1FE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「教えないで学べる」学習環境として</w:t>
            </w:r>
            <w:r w:rsidRPr="008D1FEC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EdTech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を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１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つ用いた実践を</w:t>
            </w:r>
            <w:r w:rsidR="001C6B4D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行う</w:t>
            </w:r>
          </w:p>
        </w:tc>
      </w:tr>
      <w:bookmarkEnd w:id="0"/>
      <w:tr w:rsidR="008C159B" w:rsidRPr="00B64718" w14:paraId="6987E06C" w14:textId="77777777" w:rsidTr="00C94520">
        <w:trPr>
          <w:trHeight w:val="310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7E63587" w14:textId="03C8EBF1" w:rsidR="008C159B" w:rsidRPr="00B64718" w:rsidRDefault="00323CCA" w:rsidP="0027378E">
            <w:pPr>
              <w:widowControl/>
              <w:snapToGrid w:val="0"/>
              <w:spacing w:line="0" w:lineRule="atLeast"/>
              <w:ind w:left="160" w:hangingChars="100" w:hanging="16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９　</w:t>
            </w:r>
            <w:r w:rsidR="001C6B4D" w:rsidRPr="003C71B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新たな学び</w:t>
            </w:r>
            <w:r w:rsidR="001C6B4D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の</w:t>
            </w:r>
            <w:r w:rsidR="001C6B4D" w:rsidRPr="001C6B4D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反転授業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35BC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6842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624D" w14:textId="19660A81" w:rsidR="008C159B" w:rsidRPr="00B64718" w:rsidRDefault="001C6B4D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1C6B4D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反転授業について、具体例な説明ができる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F1E6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DACC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A091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C159B" w:rsidRPr="00B64718" w14:paraId="1A4C5DE5" w14:textId="77777777" w:rsidTr="00C94520">
        <w:trPr>
          <w:trHeight w:val="310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CB971EB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0051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E2E3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18E6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01C1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068E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4D54" w14:textId="25DD350E" w:rsidR="008C159B" w:rsidRPr="00B64718" w:rsidRDefault="001C6B4D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1C6B4D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音楽教育における反転授業の学習展開について</w:t>
            </w:r>
            <w:r w:rsidR="00EA6A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反転部分の</w:t>
            </w:r>
            <w:r w:rsidRPr="001C6B4D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指導案を作成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する</w:t>
            </w:r>
          </w:p>
        </w:tc>
      </w:tr>
      <w:tr w:rsidR="008C159B" w:rsidRPr="00B64718" w14:paraId="071B7797" w14:textId="77777777" w:rsidTr="00C94520">
        <w:trPr>
          <w:trHeight w:val="310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EBACD84" w14:textId="0004962A" w:rsidR="008C159B" w:rsidRPr="00B64718" w:rsidRDefault="00323CCA" w:rsidP="0027378E">
            <w:pPr>
              <w:widowControl/>
              <w:snapToGrid w:val="0"/>
              <w:spacing w:line="0" w:lineRule="atLeast"/>
              <w:ind w:left="160" w:hangingChars="100" w:hanging="16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bookmarkStart w:id="1" w:name="_Hlk191305034"/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10　</w:t>
            </w:r>
            <w:r w:rsidR="002445B7" w:rsidRPr="002445B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協働的な学びの</w:t>
            </w:r>
            <w:r w:rsidR="002445B7" w:rsidRPr="002445B7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ICTデザイン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2B0D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735B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3789" w14:textId="6D310281" w:rsidR="008C159B" w:rsidRPr="00B64718" w:rsidRDefault="007D14C2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D14C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協働的な学びにおける</w:t>
            </w:r>
            <w:r w:rsidRPr="007D14C2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ICT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活用のメリットを説明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する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5591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6A81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8DA2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C159B" w:rsidRPr="00B64718" w14:paraId="14A471D0" w14:textId="77777777" w:rsidTr="00C94520">
        <w:trPr>
          <w:trHeight w:val="310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3C79986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6FF6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18BF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0BD5" w14:textId="5DA136E2" w:rsidR="008C159B" w:rsidRPr="00B64718" w:rsidRDefault="007D14C2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ICTを用いた協働学習</w:t>
            </w:r>
            <w:r w:rsidR="00C12D5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の</w:t>
            </w:r>
            <w:r w:rsidRPr="007D14C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授業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を</w:t>
            </w:r>
            <w:r w:rsidRPr="007D14C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デザイン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す</w:t>
            </w:r>
            <w:r w:rsidRPr="007D14C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F046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9E0D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0C6D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C159B" w:rsidRPr="00B64718" w14:paraId="26D07987" w14:textId="77777777" w:rsidTr="00C94520">
        <w:trPr>
          <w:trHeight w:val="70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3AF0598" w14:textId="66D3F283" w:rsidR="008C159B" w:rsidRPr="00B64718" w:rsidRDefault="00323CCA" w:rsidP="0027378E">
            <w:pPr>
              <w:widowControl/>
              <w:snapToGrid w:val="0"/>
              <w:spacing w:line="0" w:lineRule="atLeast"/>
              <w:ind w:left="160" w:hangingChars="100" w:hanging="16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11　</w:t>
            </w:r>
            <w:r w:rsidR="002445B7" w:rsidRPr="002445B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主体的・対話的な深い学び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4134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4F72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7D16" w14:textId="58E54283" w:rsidR="008C159B" w:rsidRPr="00B64718" w:rsidRDefault="007D14C2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D14C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主体的・対話的で深い学び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を</w:t>
            </w:r>
            <w:r w:rsidRPr="007D14C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、具体例を挙げて説明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する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A96E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C54B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8A0A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C159B" w:rsidRPr="00B64718" w14:paraId="40619EB7" w14:textId="77777777" w:rsidTr="00C94520">
        <w:trPr>
          <w:trHeight w:val="114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6D2F175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DEF0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50F6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CDAEB" w14:textId="337A1B71" w:rsidR="008C159B" w:rsidRPr="00B64718" w:rsidRDefault="007D14C2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D14C2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ICTを活用した主体的・対話的で深い学びを実現する授業をデザイン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する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0C11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9F7A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D7BF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C94520" w:rsidRPr="00B64718" w14:paraId="7078B2DF" w14:textId="77777777" w:rsidTr="00C94520">
        <w:trPr>
          <w:trHeight w:val="1238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C12B4A2" w14:textId="6FA03797" w:rsidR="00C94520" w:rsidRPr="00B64718" w:rsidRDefault="00C94520" w:rsidP="0027378E">
            <w:pPr>
              <w:widowControl/>
              <w:snapToGrid w:val="0"/>
              <w:spacing w:line="0" w:lineRule="atLeast"/>
              <w:ind w:left="160" w:hangingChars="100" w:hanging="16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12　</w:t>
            </w:r>
            <w:r w:rsidRPr="002445B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カリキュラム・マネジメント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と</w:t>
            </w:r>
            <w:r w:rsidRPr="002445B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学校における音楽科の役割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A91A" w14:textId="77777777" w:rsidR="00C94520" w:rsidRPr="00C94520" w:rsidRDefault="00C94520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4D33" w14:textId="55DCC4AA" w:rsidR="00C94520" w:rsidRPr="00B64718" w:rsidRDefault="00C94520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子供や地域の実態、学校の特色を生かした</w:t>
            </w:r>
            <w:r w:rsidRPr="00576E2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カリキュラム・マネジメント実現の計画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例を挙げる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4FA8" w14:textId="77777777" w:rsidR="00C94520" w:rsidRPr="00B64718" w:rsidRDefault="00C94520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A75E" w14:textId="77777777" w:rsidR="00C94520" w:rsidRPr="00B64718" w:rsidRDefault="00C94520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71A1" w14:textId="77777777" w:rsidR="00C94520" w:rsidRPr="00B64718" w:rsidRDefault="00C94520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F4F8" w14:textId="77777777" w:rsidR="00C94520" w:rsidRPr="00B64718" w:rsidRDefault="00C94520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bookmarkEnd w:id="1"/>
      <w:tr w:rsidR="008C159B" w:rsidRPr="00B64718" w14:paraId="1A7D7DC9" w14:textId="77777777" w:rsidTr="00C94520">
        <w:trPr>
          <w:trHeight w:val="310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B10F5A7" w14:textId="6657520B" w:rsidR="008C159B" w:rsidRPr="00B64718" w:rsidRDefault="00323CCA" w:rsidP="0027378E">
            <w:pPr>
              <w:widowControl/>
              <w:snapToGrid w:val="0"/>
              <w:spacing w:line="0" w:lineRule="atLeast"/>
              <w:ind w:left="160" w:hangingChars="100" w:hanging="16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13　</w:t>
            </w:r>
            <w:r w:rsidR="002445B7" w:rsidRPr="002445B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カリキュラム・マネジメントと音楽科</w:t>
            </w:r>
            <w:r w:rsidR="002445B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教科経営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CB5D3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354C" w14:textId="35FF2EDD" w:rsidR="008C159B" w:rsidRPr="00B64718" w:rsidRDefault="00C94520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C9452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カリキュラム・マネジメントの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充実のための授業</w:t>
            </w:r>
            <w:r w:rsidRPr="00C9452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計画例を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たてる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6FAF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8CEE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3FC8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0B3C6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C159B" w:rsidRPr="00B64718" w14:paraId="48AFFCC1" w14:textId="77777777" w:rsidTr="00C94520">
        <w:trPr>
          <w:trHeight w:val="310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B4F4D1A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CA6C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3AE6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3CBC" w14:textId="5D4472F9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AE19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B898" w14:textId="21FD7DFF" w:rsidR="008C159B" w:rsidRPr="00B64718" w:rsidRDefault="00C94520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C94520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PDCAサイクルの一環として音楽科経営の自己評価を行う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6BF3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C159B" w:rsidRPr="00B64718" w14:paraId="601491CD" w14:textId="77777777" w:rsidTr="00C94520">
        <w:trPr>
          <w:trHeight w:val="70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28049CA" w14:textId="532C9DDC" w:rsidR="008C159B" w:rsidRPr="00B64718" w:rsidRDefault="00323CCA" w:rsidP="0027378E">
            <w:pPr>
              <w:widowControl/>
              <w:snapToGrid w:val="0"/>
              <w:spacing w:line="0" w:lineRule="atLeast"/>
              <w:ind w:left="160" w:hangingChars="100" w:hanging="16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14　</w:t>
            </w:r>
            <w:r w:rsidR="002445B7" w:rsidRPr="00B64718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="002445B7" w:rsidRPr="002445B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教育データ</w:t>
            </w:r>
            <w:r w:rsidR="002445B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の</w:t>
            </w:r>
            <w:r w:rsidR="002445B7" w:rsidRPr="002445B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利活用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7D69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F35F" w14:textId="346B8821" w:rsidR="00C12D54" w:rsidRPr="00B64718" w:rsidRDefault="00C12D54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C12D5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教材選択の視点（内容の取扱い）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に沿って、</w:t>
            </w:r>
            <w:r w:rsidRPr="00C12D5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表現・鑑賞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領域の教材（楽曲）を</w:t>
            </w:r>
            <w:r w:rsidR="00152AE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例示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する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4F43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AFAE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48717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F783C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C159B" w:rsidRPr="00B64718" w14:paraId="0B3AD5C0" w14:textId="77777777" w:rsidTr="00C94520">
        <w:trPr>
          <w:trHeight w:val="114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02A56EB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28FF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9E3F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A809" w14:textId="45F3895C" w:rsidR="008C159B" w:rsidRPr="00B64718" w:rsidRDefault="00C12D54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１題材のデジタルコンテンツをつくる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303F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BA599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A7B7" w14:textId="77777777" w:rsidR="008C159B" w:rsidRPr="00B64718" w:rsidRDefault="008C159B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6079C" w:rsidRPr="00B64718" w14:paraId="3E5E1057" w14:textId="77777777" w:rsidTr="00C94520">
        <w:trPr>
          <w:trHeight w:val="177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B26D80D" w14:textId="3E119267" w:rsidR="0036079C" w:rsidRPr="00B64718" w:rsidRDefault="0036079C" w:rsidP="0027378E">
            <w:pPr>
              <w:widowControl/>
              <w:snapToGrid w:val="0"/>
              <w:spacing w:line="0" w:lineRule="atLeast"/>
              <w:ind w:left="160" w:hangingChars="100" w:hanging="16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15　</w:t>
            </w:r>
            <w:r w:rsidR="000C3A86" w:rsidRPr="000C3A8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音楽はなぜ学校に必要か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B587E" w14:textId="47726193" w:rsidR="0036079C" w:rsidRPr="0036079C" w:rsidRDefault="0036079C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36079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学校における音楽科の意味と価値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を考えたことがあるか振り返る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B7A9" w14:textId="77777777" w:rsidR="0036079C" w:rsidRPr="00B64718" w:rsidRDefault="0036079C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898B8" w14:textId="77777777" w:rsidR="0036079C" w:rsidRPr="00B64718" w:rsidRDefault="0036079C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D23D" w14:textId="4B0D8527" w:rsidR="0036079C" w:rsidRPr="00B64718" w:rsidRDefault="0036079C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50B0" w14:textId="0DF2ED8B" w:rsidR="0036079C" w:rsidRPr="00B64718" w:rsidRDefault="000C3A86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0C3A8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学校における音楽教育の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意味</w:t>
            </w:r>
            <w:r w:rsidRPr="000C3A8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と役割を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考える</w:t>
            </w:r>
          </w:p>
        </w:tc>
        <w:tc>
          <w:tcPr>
            <w:tcW w:w="2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96AAB" w14:textId="47A0F57B" w:rsidR="0036079C" w:rsidRPr="00B64718" w:rsidRDefault="0036079C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6079C" w:rsidRPr="00152AEA" w14:paraId="1584C6EE" w14:textId="77777777" w:rsidTr="00C94520">
        <w:trPr>
          <w:trHeight w:val="127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9A5BADD" w14:textId="77777777" w:rsidR="0036079C" w:rsidRPr="00B64718" w:rsidRDefault="0036079C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8149" w14:textId="77777777" w:rsidR="0036079C" w:rsidRPr="00B64718" w:rsidRDefault="0036079C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8E8F" w14:textId="77777777" w:rsidR="0036079C" w:rsidRPr="00B64718" w:rsidRDefault="0036079C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3D0E6" w14:textId="77777777" w:rsidR="0036079C" w:rsidRPr="00B64718" w:rsidRDefault="0036079C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F64D" w14:textId="77777777" w:rsidR="0036079C" w:rsidRPr="00B64718" w:rsidRDefault="0036079C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AD6E" w14:textId="24E96FE9" w:rsidR="0036079C" w:rsidRPr="00B64718" w:rsidRDefault="0036079C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3D6A" w14:textId="10C1FDB9" w:rsidR="0036079C" w:rsidRPr="00B64718" w:rsidRDefault="000C3A86" w:rsidP="0027378E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bookmarkStart w:id="2" w:name="_Hlk194859615"/>
            <w:r w:rsidRPr="000C3A8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未来を生きる世代に必要な音楽の意義と価値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についての自分</w:t>
            </w:r>
            <w:r w:rsidR="00152AE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の考え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方</w:t>
            </w:r>
            <w:r w:rsidR="00152AE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を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反映させて授業づくりをする</w:t>
            </w:r>
            <w:bookmarkEnd w:id="2"/>
          </w:p>
        </w:tc>
      </w:tr>
    </w:tbl>
    <w:p w14:paraId="09BCA228" w14:textId="1AB2257A" w:rsidR="00061598" w:rsidRPr="000C3A86" w:rsidRDefault="00061598" w:rsidP="0027378E">
      <w:pPr>
        <w:snapToGrid w:val="0"/>
        <w:spacing w:line="0" w:lineRule="atLeast"/>
        <w:rPr>
          <w:rFonts w:ascii="メイリオ" w:eastAsia="メイリオ" w:hAnsi="メイリオ"/>
          <w:b/>
        </w:rPr>
      </w:pPr>
    </w:p>
    <w:sectPr w:rsidR="00061598" w:rsidRPr="000C3A86" w:rsidSect="00F87737">
      <w:pgSz w:w="16838" w:h="11906" w:orient="landscape"/>
      <w:pgMar w:top="794" w:right="720" w:bottom="794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5770D" w14:textId="77777777" w:rsidR="000536DF" w:rsidRDefault="000536DF" w:rsidP="00446A68">
      <w:r>
        <w:separator/>
      </w:r>
    </w:p>
  </w:endnote>
  <w:endnote w:type="continuationSeparator" w:id="0">
    <w:p w14:paraId="3D13AA68" w14:textId="77777777" w:rsidR="000536DF" w:rsidRDefault="000536DF" w:rsidP="0044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805A7" w14:textId="77777777" w:rsidR="000536DF" w:rsidRDefault="000536DF" w:rsidP="00446A68">
      <w:r>
        <w:separator/>
      </w:r>
    </w:p>
  </w:footnote>
  <w:footnote w:type="continuationSeparator" w:id="0">
    <w:p w14:paraId="144F78CB" w14:textId="77777777" w:rsidR="000536DF" w:rsidRDefault="000536DF" w:rsidP="00446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7B"/>
    <w:rsid w:val="00001277"/>
    <w:rsid w:val="00043FB3"/>
    <w:rsid w:val="000536DF"/>
    <w:rsid w:val="00055262"/>
    <w:rsid w:val="00061598"/>
    <w:rsid w:val="00083FB3"/>
    <w:rsid w:val="00092E6C"/>
    <w:rsid w:val="000B2F07"/>
    <w:rsid w:val="000C3A86"/>
    <w:rsid w:val="00124661"/>
    <w:rsid w:val="00152AEA"/>
    <w:rsid w:val="00192101"/>
    <w:rsid w:val="001A1EAC"/>
    <w:rsid w:val="001A2939"/>
    <w:rsid w:val="001C6B4D"/>
    <w:rsid w:val="001F6CEA"/>
    <w:rsid w:val="002000EE"/>
    <w:rsid w:val="00216131"/>
    <w:rsid w:val="00236FB2"/>
    <w:rsid w:val="002445B7"/>
    <w:rsid w:val="0026570E"/>
    <w:rsid w:val="00266601"/>
    <w:rsid w:val="0027378E"/>
    <w:rsid w:val="002853BA"/>
    <w:rsid w:val="002F3B19"/>
    <w:rsid w:val="00317487"/>
    <w:rsid w:val="00323CCA"/>
    <w:rsid w:val="00326D08"/>
    <w:rsid w:val="0033112B"/>
    <w:rsid w:val="0036079C"/>
    <w:rsid w:val="00385CDD"/>
    <w:rsid w:val="003A024D"/>
    <w:rsid w:val="003C55F5"/>
    <w:rsid w:val="003C71B9"/>
    <w:rsid w:val="003F17DB"/>
    <w:rsid w:val="00446A68"/>
    <w:rsid w:val="00450DCD"/>
    <w:rsid w:val="00481C57"/>
    <w:rsid w:val="0049033C"/>
    <w:rsid w:val="004A2FB4"/>
    <w:rsid w:val="004F4FB1"/>
    <w:rsid w:val="0053538C"/>
    <w:rsid w:val="00551802"/>
    <w:rsid w:val="00576E2A"/>
    <w:rsid w:val="005A17E2"/>
    <w:rsid w:val="0062156F"/>
    <w:rsid w:val="0065580E"/>
    <w:rsid w:val="00667735"/>
    <w:rsid w:val="0067127D"/>
    <w:rsid w:val="006720E3"/>
    <w:rsid w:val="006873D9"/>
    <w:rsid w:val="00696311"/>
    <w:rsid w:val="00732CAC"/>
    <w:rsid w:val="00783CE9"/>
    <w:rsid w:val="0079016E"/>
    <w:rsid w:val="007A4623"/>
    <w:rsid w:val="007D14C2"/>
    <w:rsid w:val="007E7DEA"/>
    <w:rsid w:val="007F440F"/>
    <w:rsid w:val="00837E0A"/>
    <w:rsid w:val="00892B87"/>
    <w:rsid w:val="008C159B"/>
    <w:rsid w:val="008C3DE4"/>
    <w:rsid w:val="008D1BC2"/>
    <w:rsid w:val="008D1FEC"/>
    <w:rsid w:val="008D39E3"/>
    <w:rsid w:val="008D6A23"/>
    <w:rsid w:val="009125CE"/>
    <w:rsid w:val="00915CDC"/>
    <w:rsid w:val="00926BEA"/>
    <w:rsid w:val="00957101"/>
    <w:rsid w:val="00961F31"/>
    <w:rsid w:val="0096417C"/>
    <w:rsid w:val="009679E0"/>
    <w:rsid w:val="0097144B"/>
    <w:rsid w:val="00971DC1"/>
    <w:rsid w:val="0097777A"/>
    <w:rsid w:val="00A23D49"/>
    <w:rsid w:val="00A402A6"/>
    <w:rsid w:val="00A805AA"/>
    <w:rsid w:val="00A80EEA"/>
    <w:rsid w:val="00A9194E"/>
    <w:rsid w:val="00AB59AB"/>
    <w:rsid w:val="00AE3AFE"/>
    <w:rsid w:val="00B04F6C"/>
    <w:rsid w:val="00B20288"/>
    <w:rsid w:val="00B27375"/>
    <w:rsid w:val="00B51B82"/>
    <w:rsid w:val="00B64718"/>
    <w:rsid w:val="00B967C3"/>
    <w:rsid w:val="00BD60E1"/>
    <w:rsid w:val="00BF6B16"/>
    <w:rsid w:val="00BF770E"/>
    <w:rsid w:val="00C12D54"/>
    <w:rsid w:val="00C94520"/>
    <w:rsid w:val="00CB3814"/>
    <w:rsid w:val="00CE15A1"/>
    <w:rsid w:val="00CE6631"/>
    <w:rsid w:val="00D7416E"/>
    <w:rsid w:val="00D95562"/>
    <w:rsid w:val="00DB4A87"/>
    <w:rsid w:val="00E13C08"/>
    <w:rsid w:val="00E2104B"/>
    <w:rsid w:val="00E61879"/>
    <w:rsid w:val="00E802C5"/>
    <w:rsid w:val="00E86A2D"/>
    <w:rsid w:val="00EA6A28"/>
    <w:rsid w:val="00EC3296"/>
    <w:rsid w:val="00F0248E"/>
    <w:rsid w:val="00F87737"/>
    <w:rsid w:val="00FA447B"/>
    <w:rsid w:val="00FA6355"/>
    <w:rsid w:val="00FB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E4A74"/>
  <w15:chartTrackingRefBased/>
  <w15:docId w15:val="{50081BE5-19E2-4DBE-9112-00E88CBD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A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A68"/>
  </w:style>
  <w:style w:type="paragraph" w:styleId="a6">
    <w:name w:val="footer"/>
    <w:basedOn w:val="a"/>
    <w:link w:val="a7"/>
    <w:uiPriority w:val="99"/>
    <w:unhideWhenUsed/>
    <w:rsid w:val="00446A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A68"/>
  </w:style>
  <w:style w:type="paragraph" w:styleId="a8">
    <w:name w:val="Balloon Text"/>
    <w:basedOn w:val="a"/>
    <w:link w:val="a9"/>
    <w:uiPriority w:val="99"/>
    <w:semiHidden/>
    <w:unhideWhenUsed/>
    <w:rsid w:val="00446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6A6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061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久世 均</dc:creator>
  <cp:keywords/>
  <dc:description/>
  <cp:lastModifiedBy>Atsuhiro Iwaki</cp:lastModifiedBy>
  <cp:revision>28</cp:revision>
  <cp:lastPrinted>2024-04-18T10:09:00Z</cp:lastPrinted>
  <dcterms:created xsi:type="dcterms:W3CDTF">2024-04-22T01:02:00Z</dcterms:created>
  <dcterms:modified xsi:type="dcterms:W3CDTF">2025-04-06T11:20:00Z</dcterms:modified>
</cp:coreProperties>
</file>